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D8" w:rsidRDefault="000635F2" w:rsidP="000F79D8">
      <w:pPr>
        <w:pStyle w:val="Heading1"/>
      </w:pPr>
      <w:bookmarkStart w:id="0" w:name="_Toc396754771"/>
      <w:bookmarkEnd w:id="0"/>
      <w:r w:rsidRPr="003C28AC">
        <w:t>I</w:t>
      </w:r>
      <w:r w:rsidR="006B5553" w:rsidRPr="003C28AC">
        <w:t>nformaţii/ estimări</w:t>
      </w:r>
      <w:r w:rsidR="006B5553">
        <w:t xml:space="preserve"> </w:t>
      </w:r>
      <w:r w:rsidRPr="000635F2">
        <w:t xml:space="preserve">privind </w:t>
      </w:r>
      <w:r w:rsidRPr="006B5553">
        <w:t>c</w:t>
      </w:r>
      <w:r w:rsidR="00C9584F" w:rsidRPr="006B5553">
        <w:t>antităţi</w:t>
      </w:r>
      <w:r w:rsidRPr="006B5553">
        <w:t>le</w:t>
      </w:r>
      <w:r w:rsidR="00C9584F" w:rsidRPr="000635F2">
        <w:t xml:space="preserve"> de hrană risipite anual în România</w:t>
      </w:r>
    </w:p>
    <w:p w:rsidR="00DE3BAE" w:rsidRPr="000F79D8" w:rsidRDefault="00C9584F" w:rsidP="000F79D8">
      <w:pPr>
        <w:pStyle w:val="ListParagraph"/>
        <w:rPr>
          <w:rFonts w:cs="TimesNewRoman"/>
          <w:i/>
        </w:rPr>
      </w:pPr>
      <w:r w:rsidRPr="000F79D8">
        <w:rPr>
          <w:rFonts w:cs="TimesNewRoman"/>
          <w:i/>
        </w:rPr>
        <w:t>(</w:t>
      </w:r>
      <w:r w:rsidR="000635F2" w:rsidRPr="000F79D8">
        <w:rPr>
          <w:rFonts w:cs="TimesNewRoman"/>
          <w:i/>
        </w:rPr>
        <w:t xml:space="preserve">tone; </w:t>
      </w:r>
      <w:r w:rsidRPr="000F79D8">
        <w:rPr>
          <w:rFonts w:cs="TimesNewRoman"/>
          <w:i/>
        </w:rPr>
        <w:t>kg/ cap de locuitor)</w:t>
      </w:r>
      <w:r w:rsidR="000635F2" w:rsidRPr="000F79D8">
        <w:rPr>
          <w:rFonts w:cs="TimesNewRoman"/>
          <w:i/>
        </w:rPr>
        <w:t xml:space="preserve">, </w:t>
      </w:r>
      <w:r w:rsidRPr="000F79D8">
        <w:rPr>
          <w:rFonts w:cs="TimesNewRoman"/>
          <w:i/>
        </w:rPr>
        <w:t xml:space="preserve">poziţia faţă de media UE; </w:t>
      </w:r>
      <w:r w:rsidR="009A4662" w:rsidRPr="000F79D8">
        <w:rPr>
          <w:rFonts w:cs="TimesNewRoman"/>
          <w:i/>
        </w:rPr>
        <w:t xml:space="preserve">pierderi </w:t>
      </w:r>
      <w:r w:rsidRPr="000F79D8">
        <w:rPr>
          <w:rFonts w:cs="TimesNewRoman"/>
          <w:i/>
        </w:rPr>
        <w:t>raportat</w:t>
      </w:r>
      <w:r w:rsidR="009A4662" w:rsidRPr="000F79D8">
        <w:rPr>
          <w:rFonts w:cs="TimesNewRoman"/>
          <w:i/>
        </w:rPr>
        <w:t>e</w:t>
      </w:r>
      <w:r w:rsidRPr="000F79D8">
        <w:rPr>
          <w:rFonts w:cs="TimesNewRoman"/>
          <w:i/>
        </w:rPr>
        <w:t xml:space="preserve"> la venitul mediu </w:t>
      </w:r>
      <w:r w:rsidR="000635F2" w:rsidRPr="000F79D8">
        <w:rPr>
          <w:rFonts w:cs="TimesNewRoman"/>
          <w:i/>
        </w:rPr>
        <w:t>(%),</w:t>
      </w:r>
      <w:r w:rsidRPr="000F79D8">
        <w:rPr>
          <w:rFonts w:cs="TimesNewRoman"/>
          <w:i/>
        </w:rPr>
        <w:t xml:space="preserve"> poziţia faţă de media UE; </w:t>
      </w:r>
      <w:r w:rsidR="000635F2" w:rsidRPr="000F79D8">
        <w:rPr>
          <w:rFonts w:cs="TimesNewRoman"/>
          <w:i/>
        </w:rPr>
        <w:t>repartiţia pierderilor</w:t>
      </w:r>
      <w:r w:rsidRPr="000F79D8">
        <w:rPr>
          <w:rFonts w:cs="TimesNewRoman"/>
          <w:i/>
        </w:rPr>
        <w:t xml:space="preserve"> pe sectoare</w:t>
      </w:r>
      <w:r w:rsidR="000635F2" w:rsidRPr="000F79D8">
        <w:rPr>
          <w:rFonts w:cs="TimesNewRoman"/>
          <w:i/>
        </w:rPr>
        <w:t>le relevante</w:t>
      </w:r>
      <w:r w:rsidRPr="000F79D8">
        <w:rPr>
          <w:rFonts w:cs="TimesNewRoman"/>
          <w:i/>
        </w:rPr>
        <w:t xml:space="preserve"> (producţ</w:t>
      </w:r>
      <w:r w:rsidR="000635F2" w:rsidRPr="000F79D8">
        <w:rPr>
          <w:rFonts w:cs="TimesNewRoman"/>
          <w:i/>
        </w:rPr>
        <w:t>ie/ procesa</w:t>
      </w:r>
      <w:r w:rsidR="000F79D8">
        <w:rPr>
          <w:rFonts w:cs="TimesNewRoman"/>
          <w:i/>
        </w:rPr>
        <w:t>re, retail, Horeca, gospodării).</w:t>
      </w:r>
    </w:p>
    <w:p w:rsidR="00FD6CCC" w:rsidRDefault="009F69EE" w:rsidP="009F69EE">
      <w:r w:rsidRPr="009F69EE">
        <w:rPr>
          <w:rFonts w:cs="TimesNewRoman"/>
        </w:rPr>
        <w:t>Cele mai bune estimări pentru România,</w:t>
      </w:r>
      <w:r>
        <w:rPr>
          <w:rFonts w:cs="TimesNewRoman"/>
        </w:rPr>
        <w:t xml:space="preserve"> în ceea ce priveşte risipa de hrană,</w:t>
      </w:r>
      <w:r w:rsidRPr="009F69EE">
        <w:t xml:space="preserve"> </w:t>
      </w:r>
      <w:r>
        <w:t xml:space="preserve">se bazează pe datele </w:t>
      </w:r>
      <w:r w:rsidRPr="008868D7">
        <w:t>biroul</w:t>
      </w:r>
      <w:r>
        <w:t>ui</w:t>
      </w:r>
      <w:r w:rsidRPr="008868D7">
        <w:t xml:space="preserve"> european de statistic</w:t>
      </w:r>
      <w:r>
        <w:t>ă</w:t>
      </w:r>
      <w:r w:rsidRPr="008868D7">
        <w:t xml:space="preserve"> </w:t>
      </w:r>
      <w:r w:rsidRPr="000F41BA">
        <w:rPr>
          <w:b/>
        </w:rPr>
        <w:t>Eurostat</w:t>
      </w:r>
      <w:r>
        <w:t xml:space="preserve">. Astfel, conform </w:t>
      </w:r>
      <w:r w:rsidRPr="00956CB6">
        <w:rPr>
          <w:b/>
        </w:rPr>
        <w:t>BIO Intelligence Service</w:t>
      </w:r>
      <w:r>
        <w:rPr>
          <w:rStyle w:val="FootnoteReference"/>
        </w:rPr>
        <w:footnoteReference w:id="1"/>
      </w:r>
      <w:r>
        <w:t xml:space="preserve">, </w:t>
      </w:r>
      <w:r w:rsidRPr="002756D1">
        <w:t xml:space="preserve">la nivelul statelor membre </w:t>
      </w:r>
      <w:r w:rsidRPr="007077FA">
        <w:rPr>
          <w:b/>
        </w:rPr>
        <w:t>UE</w:t>
      </w:r>
      <w:r w:rsidRPr="002756D1">
        <w:t xml:space="preserve">, risipa alimentară </w:t>
      </w:r>
      <w:r>
        <w:t xml:space="preserve">era, la nivelul anului </w:t>
      </w:r>
      <w:r w:rsidRPr="009F69EE">
        <w:rPr>
          <w:b/>
        </w:rPr>
        <w:t>2006</w:t>
      </w:r>
      <w:r>
        <w:t>,</w:t>
      </w:r>
      <w:r w:rsidRPr="002756D1">
        <w:t xml:space="preserve"> de peste </w:t>
      </w:r>
      <w:r w:rsidRPr="009F69EE">
        <w:rPr>
          <w:b/>
        </w:rPr>
        <w:t>89 de milioane de tone</w:t>
      </w:r>
      <w:r w:rsidRPr="002756D1">
        <w:t xml:space="preserve">, </w:t>
      </w:r>
      <w:r>
        <w:t xml:space="preserve">respectiv </w:t>
      </w:r>
      <w:r w:rsidRPr="007077FA">
        <w:rPr>
          <w:b/>
        </w:rPr>
        <w:t>179 kg/ cap de locuitor</w:t>
      </w:r>
      <w:r>
        <w:t xml:space="preserve">, </w:t>
      </w:r>
      <w:r w:rsidRPr="002756D1">
        <w:t xml:space="preserve">din care </w:t>
      </w:r>
      <w:r w:rsidRPr="002756D1">
        <w:rPr>
          <w:b/>
        </w:rPr>
        <w:t>2,55 %</w:t>
      </w:r>
      <w:r w:rsidRPr="002756D1">
        <w:t xml:space="preserve"> (2.274.000 tone) rev</w:t>
      </w:r>
      <w:r>
        <w:t>e</w:t>
      </w:r>
      <w:r w:rsidRPr="002756D1">
        <w:t>n</w:t>
      </w:r>
      <w:r>
        <w:t>eau</w:t>
      </w:r>
      <w:r w:rsidRPr="002756D1">
        <w:t xml:space="preserve"> </w:t>
      </w:r>
      <w:r w:rsidRPr="007077FA">
        <w:rPr>
          <w:b/>
        </w:rPr>
        <w:t>României</w:t>
      </w:r>
      <w:r w:rsidRPr="002756D1">
        <w:t xml:space="preserve">, ocupând </w:t>
      </w:r>
      <w:r w:rsidRPr="002756D1">
        <w:rPr>
          <w:b/>
        </w:rPr>
        <w:t>poziţia 9 în clasament</w:t>
      </w:r>
      <w:r w:rsidRPr="009F69EE">
        <w:t>.</w:t>
      </w:r>
    </w:p>
    <w:p w:rsidR="006E16F5" w:rsidRPr="009F69EE" w:rsidRDefault="006E16F5" w:rsidP="009F69EE">
      <w:pPr>
        <w:rPr>
          <w:rFonts w:cs="TimesNewRoman"/>
        </w:rPr>
      </w:pPr>
      <w:r>
        <w:t xml:space="preserve">Există însă două scenarii pentru România, unul în care sectoarele </w:t>
      </w:r>
      <w:r w:rsidRPr="006E16F5">
        <w:t>retail/ en-gros şi cel de servicii alimentare/ catering</w:t>
      </w:r>
      <w:r>
        <w:t xml:space="preserve"> fac parte dintr-o categorie </w:t>
      </w:r>
      <w:r w:rsidR="00476E48">
        <w:t xml:space="preserve">mai amplă </w:t>
      </w:r>
      <w:r>
        <w:t>numită „Alte sectoare” (</w:t>
      </w:r>
      <w:r w:rsidR="00476E48">
        <w:t>care include şi</w:t>
      </w:r>
      <w:r>
        <w:t xml:space="preserve"> alte surse </w:t>
      </w:r>
      <w:r w:rsidR="00476E48">
        <w:t>de generare a risipei</w:t>
      </w:r>
      <w:r>
        <w:t>), şi altul în care sunt considerate separat cele două sectoare.</w:t>
      </w:r>
      <w:r w:rsidRPr="006E16F5">
        <w:t xml:space="preserve"> </w:t>
      </w:r>
      <w:r>
        <w:t>Este important d</w:t>
      </w:r>
      <w:r w:rsidRPr="006E16F5">
        <w:t>e menţionat faptul că, în cadrul acestor estimări, nu a fost luată în considerare risipa alimentară provenită din sectorul de agricultură.</w:t>
      </w:r>
      <w:r>
        <w:t xml:space="preserve"> În</w:t>
      </w:r>
      <w:r w:rsidR="00476E48">
        <w:t xml:space="preserve"> </w:t>
      </w:r>
      <w:r w:rsidR="00476E48">
        <w:fldChar w:fldCharType="begin"/>
      </w:r>
      <w:r w:rsidR="00476E48">
        <w:instrText xml:space="preserve"> REF _Ref466985075 \h </w:instrText>
      </w:r>
      <w:r w:rsidR="00476E48">
        <w:fldChar w:fldCharType="separate"/>
      </w:r>
      <w:r w:rsidR="00476E48">
        <w:t xml:space="preserve">Tabelul nr. </w:t>
      </w:r>
      <w:r w:rsidR="00476E48">
        <w:rPr>
          <w:noProof/>
        </w:rPr>
        <w:t>1</w:t>
      </w:r>
      <w:r w:rsidR="00476E48">
        <w:fldChar w:fldCharType="end"/>
      </w:r>
      <w:r>
        <w:t xml:space="preserve"> sunt prezentate cele două scenarii pentru România, conform datelor Eurostat 2006, precum şi estimările </w:t>
      </w:r>
      <w:r w:rsidR="00476E48">
        <w:t>privind situaţia actuală (pe baza datelor existente, a</w:t>
      </w:r>
      <w:r w:rsidR="00476E48" w:rsidRPr="00476E48">
        <w:t xml:space="preserve"> </w:t>
      </w:r>
      <w:r w:rsidR="00476E48" w:rsidRPr="00833556">
        <w:t xml:space="preserve">estimările </w:t>
      </w:r>
      <w:r w:rsidR="00476E48">
        <w:t>europene recente, cum că î</w:t>
      </w:r>
      <w:r w:rsidR="00476E48" w:rsidRPr="00833556">
        <w:t>n perioada 2006 – 2012, risipa alimentar</w:t>
      </w:r>
      <w:r w:rsidR="00476E48">
        <w:t>ă</w:t>
      </w:r>
      <w:r w:rsidR="00476E48" w:rsidRPr="00833556">
        <w:t xml:space="preserve"> s-a dublat la nivel european, ritm</w:t>
      </w:r>
      <w:r w:rsidR="00476E48">
        <w:t>ul</w:t>
      </w:r>
      <w:r w:rsidR="00476E48" w:rsidRPr="00833556">
        <w:t xml:space="preserve"> de cre</w:t>
      </w:r>
      <w:r w:rsidR="00476E48">
        <w:t>ş</w:t>
      </w:r>
      <w:r w:rsidR="00476E48" w:rsidRPr="00833556">
        <w:t xml:space="preserve">tere </w:t>
      </w:r>
      <w:r w:rsidR="00476E48">
        <w:t xml:space="preserve">fiind </w:t>
      </w:r>
      <w:r w:rsidR="00476E48" w:rsidRPr="00833556">
        <w:t xml:space="preserve">din ce </w:t>
      </w:r>
      <w:r w:rsidR="00476E48">
        <w:t>în ce mai mare</w:t>
      </w:r>
      <w:r w:rsidR="00476E48">
        <w:rPr>
          <w:rStyle w:val="FootnoteReference"/>
        </w:rPr>
        <w:footnoteReference w:id="2"/>
      </w:r>
      <w:r w:rsidR="00476E48">
        <w:t xml:space="preserve">, şi a </w:t>
      </w:r>
      <w:r w:rsidR="00476E48" w:rsidRPr="002756D1">
        <w:t>statistic</w:t>
      </w:r>
      <w:r w:rsidR="00476E48">
        <w:t>ilor</w:t>
      </w:r>
      <w:r w:rsidR="00476E48" w:rsidRPr="002756D1">
        <w:t xml:space="preserve"> </w:t>
      </w:r>
      <w:r w:rsidR="00476E48">
        <w:t xml:space="preserve">MADR, 2014, ce </w:t>
      </w:r>
      <w:r w:rsidR="00476E48" w:rsidRPr="002756D1">
        <w:t xml:space="preserve">indică aprox. 5 milioane de tone de deşeuri alimentare generate anual în </w:t>
      </w:r>
      <w:r w:rsidR="00476E48" w:rsidRPr="00BC5338">
        <w:t>România</w:t>
      </w:r>
      <w:r w:rsidR="00476E48">
        <w:rPr>
          <w:rStyle w:val="FootnoteReference"/>
        </w:rPr>
        <w:footnoteReference w:id="3"/>
      </w:r>
      <w:r w:rsidR="00476E48">
        <w:t>), defalcate pe sectoare, cantităţi (tone), kg/ cap de locuitor şi % estimat din totalul de alimente risipite.</w:t>
      </w:r>
    </w:p>
    <w:p w:rsidR="00476E48" w:rsidRDefault="00476E48" w:rsidP="00476E48">
      <w:pPr>
        <w:pStyle w:val="Caption"/>
        <w:keepNext/>
      </w:pPr>
      <w:bookmarkStart w:id="1" w:name="_Ref466985075"/>
      <w:r>
        <w:t xml:space="preserve">Tabel nr. </w:t>
      </w:r>
      <w:fldSimple w:instr=" SEQ Tabel_nr. \* ARABIC ">
        <w:r w:rsidR="00557004">
          <w:rPr>
            <w:noProof/>
          </w:rPr>
          <w:t>1</w:t>
        </w:r>
      </w:fldSimple>
      <w:bookmarkEnd w:id="1"/>
      <w:r>
        <w:t xml:space="preserve"> </w:t>
      </w:r>
      <w:r w:rsidR="00E40728">
        <w:t>Cele mai bune estimări privind risipa de hrană în România, date Eurostat 2006 şi estimări privind situaţia actuală</w:t>
      </w:r>
    </w:p>
    <w:tbl>
      <w:tblPr>
        <w:tblStyle w:val="TableGrid"/>
        <w:tblW w:w="9728" w:type="dxa"/>
        <w:jc w:val="center"/>
        <w:tblInd w:w="198" w:type="dxa"/>
        <w:tblLook w:val="04A0" w:firstRow="1" w:lastRow="0" w:firstColumn="1" w:lastColumn="0" w:noHBand="0" w:noVBand="1"/>
      </w:tblPr>
      <w:tblGrid>
        <w:gridCol w:w="2074"/>
        <w:gridCol w:w="1556"/>
        <w:gridCol w:w="1383"/>
        <w:gridCol w:w="1843"/>
        <w:gridCol w:w="1418"/>
        <w:gridCol w:w="1454"/>
      </w:tblGrid>
      <w:tr w:rsidR="00BE4406" w:rsidRPr="008A01F9" w:rsidTr="00454230">
        <w:trPr>
          <w:trHeight w:val="291"/>
          <w:jc w:val="center"/>
        </w:trPr>
        <w:tc>
          <w:tcPr>
            <w:tcW w:w="9728" w:type="dxa"/>
            <w:gridSpan w:val="6"/>
            <w:shd w:val="clear" w:color="auto" w:fill="FFD966" w:themeFill="accent4" w:themeFillTint="99"/>
          </w:tcPr>
          <w:p w:rsidR="00BE4406" w:rsidRPr="008A01F9" w:rsidRDefault="00BE4406" w:rsidP="00BE4406">
            <w:pPr>
              <w:spacing w:before="0" w:after="0" w:line="240" w:lineRule="auto"/>
              <w:jc w:val="center"/>
              <w:rPr>
                <w:rFonts w:cs="TimesNewRoman"/>
                <w:b/>
                <w:sz w:val="22"/>
                <w:szCs w:val="22"/>
              </w:rPr>
            </w:pPr>
            <w:r w:rsidRPr="008A01F9">
              <w:rPr>
                <w:rFonts w:cs="TimesNewRoman"/>
                <w:b/>
                <w:sz w:val="22"/>
                <w:szCs w:val="22"/>
              </w:rPr>
              <w:t>Scenariul 1</w:t>
            </w:r>
          </w:p>
        </w:tc>
      </w:tr>
      <w:tr w:rsidR="00771347" w:rsidRPr="008A01F9" w:rsidTr="00454230">
        <w:trPr>
          <w:trHeight w:val="214"/>
          <w:jc w:val="center"/>
        </w:trPr>
        <w:tc>
          <w:tcPr>
            <w:tcW w:w="2074" w:type="dxa"/>
            <w:vMerge w:val="restart"/>
            <w:shd w:val="clear" w:color="auto" w:fill="EDEDED" w:themeFill="accent3" w:themeFillTint="33"/>
            <w:vAlign w:val="center"/>
          </w:tcPr>
          <w:p w:rsidR="00771347" w:rsidRPr="008A01F9" w:rsidRDefault="00771347" w:rsidP="00BE4406">
            <w:pPr>
              <w:spacing w:before="0" w:after="0" w:line="240" w:lineRule="auto"/>
              <w:rPr>
                <w:rFonts w:cs="TimesNewRoman"/>
                <w:b/>
                <w:sz w:val="22"/>
                <w:szCs w:val="22"/>
              </w:rPr>
            </w:pPr>
            <w:r w:rsidRPr="008A01F9">
              <w:rPr>
                <w:rFonts w:cs="TimesNewRoman"/>
                <w:b/>
                <w:sz w:val="22"/>
                <w:szCs w:val="22"/>
              </w:rPr>
              <w:t>Sectoare relevante</w:t>
            </w:r>
          </w:p>
        </w:tc>
        <w:tc>
          <w:tcPr>
            <w:tcW w:w="2939" w:type="dxa"/>
            <w:gridSpan w:val="2"/>
            <w:shd w:val="clear" w:color="auto" w:fill="E2EFD9" w:themeFill="accent6" w:themeFillTint="33"/>
          </w:tcPr>
          <w:p w:rsidR="00771347" w:rsidRPr="008A01F9" w:rsidRDefault="00771347" w:rsidP="00BE4406">
            <w:pPr>
              <w:spacing w:before="0" w:after="0" w:line="240" w:lineRule="auto"/>
              <w:jc w:val="center"/>
              <w:rPr>
                <w:rFonts w:cs="TimesNewRoman"/>
                <w:b/>
                <w:sz w:val="22"/>
                <w:szCs w:val="22"/>
              </w:rPr>
            </w:pPr>
            <w:r>
              <w:rPr>
                <w:rFonts w:cs="TimesNewRoman"/>
                <w:b/>
                <w:sz w:val="22"/>
                <w:szCs w:val="22"/>
              </w:rPr>
              <w:t>Date Eurostat 2006</w:t>
            </w:r>
          </w:p>
        </w:tc>
        <w:tc>
          <w:tcPr>
            <w:tcW w:w="3261" w:type="dxa"/>
            <w:gridSpan w:val="2"/>
            <w:shd w:val="clear" w:color="auto" w:fill="C5E0B3" w:themeFill="accent6" w:themeFillTint="66"/>
          </w:tcPr>
          <w:p w:rsidR="00771347" w:rsidRPr="008A01F9" w:rsidRDefault="00771347" w:rsidP="00BE4406">
            <w:pPr>
              <w:spacing w:before="0" w:after="0" w:line="240" w:lineRule="auto"/>
              <w:jc w:val="center"/>
              <w:rPr>
                <w:rFonts w:cs="TimesNewRoman"/>
                <w:b/>
                <w:sz w:val="22"/>
                <w:szCs w:val="22"/>
              </w:rPr>
            </w:pPr>
            <w:r>
              <w:rPr>
                <w:rFonts w:cs="TimesNewRoman"/>
                <w:b/>
                <w:sz w:val="22"/>
                <w:szCs w:val="22"/>
              </w:rPr>
              <w:t>Estimări privind situaţia actuală</w:t>
            </w:r>
          </w:p>
        </w:tc>
        <w:tc>
          <w:tcPr>
            <w:tcW w:w="1454" w:type="dxa"/>
            <w:vMerge w:val="restart"/>
            <w:shd w:val="clear" w:color="auto" w:fill="FBE4D5" w:themeFill="accent2" w:themeFillTint="33"/>
            <w:vAlign w:val="center"/>
          </w:tcPr>
          <w:p w:rsidR="00771347" w:rsidRPr="00BE4406" w:rsidRDefault="00771347" w:rsidP="00771347">
            <w:pPr>
              <w:spacing w:before="0" w:after="0" w:line="240" w:lineRule="auto"/>
              <w:jc w:val="center"/>
              <w:rPr>
                <w:rFonts w:cs="TimesNewRoman"/>
                <w:b/>
                <w:sz w:val="22"/>
                <w:szCs w:val="22"/>
              </w:rPr>
            </w:pPr>
            <w:r w:rsidRPr="00BE4406">
              <w:rPr>
                <w:rFonts w:cs="TimesNewRoman"/>
                <w:b/>
                <w:sz w:val="22"/>
                <w:szCs w:val="22"/>
              </w:rPr>
              <w:t>%</w:t>
            </w:r>
            <w:r>
              <w:rPr>
                <w:rFonts w:cs="TimesNewRoman"/>
                <w:b/>
                <w:sz w:val="22"/>
                <w:szCs w:val="22"/>
              </w:rPr>
              <w:t xml:space="preserve"> pierdere pe sector</w:t>
            </w:r>
          </w:p>
        </w:tc>
      </w:tr>
      <w:tr w:rsidR="00771347" w:rsidRPr="008A01F9" w:rsidTr="00454230">
        <w:trPr>
          <w:trHeight w:val="524"/>
          <w:jc w:val="center"/>
        </w:trPr>
        <w:tc>
          <w:tcPr>
            <w:tcW w:w="2074" w:type="dxa"/>
            <w:vMerge/>
            <w:shd w:val="clear" w:color="auto" w:fill="EDEDED" w:themeFill="accent3" w:themeFillTint="33"/>
            <w:vAlign w:val="center"/>
          </w:tcPr>
          <w:p w:rsidR="00771347" w:rsidRPr="008A01F9" w:rsidRDefault="00771347" w:rsidP="00BE4406">
            <w:pPr>
              <w:spacing w:before="0" w:after="0" w:line="240" w:lineRule="auto"/>
              <w:rPr>
                <w:rFonts w:cs="TimesNewRoman"/>
                <w:b/>
                <w:sz w:val="22"/>
                <w:szCs w:val="22"/>
              </w:rPr>
            </w:pPr>
          </w:p>
        </w:tc>
        <w:tc>
          <w:tcPr>
            <w:tcW w:w="1556" w:type="dxa"/>
            <w:shd w:val="clear" w:color="auto" w:fill="E2EFD9" w:themeFill="accent6" w:themeFillTint="33"/>
            <w:vAlign w:val="center"/>
          </w:tcPr>
          <w:p w:rsidR="00771347" w:rsidRDefault="00771347" w:rsidP="00BE4406">
            <w:pPr>
              <w:spacing w:before="0" w:after="0" w:line="240" w:lineRule="auto"/>
              <w:rPr>
                <w:rFonts w:cs="TimesNewRoman"/>
                <w:b/>
                <w:sz w:val="22"/>
                <w:szCs w:val="22"/>
              </w:rPr>
            </w:pPr>
            <w:r>
              <w:rPr>
                <w:rFonts w:cs="TimesNewRoman"/>
                <w:b/>
                <w:sz w:val="22"/>
                <w:szCs w:val="22"/>
              </w:rPr>
              <w:t>cantitate alimente risipite (tone)</w:t>
            </w:r>
          </w:p>
        </w:tc>
        <w:tc>
          <w:tcPr>
            <w:tcW w:w="1383" w:type="dxa"/>
            <w:shd w:val="clear" w:color="auto" w:fill="E2EFD9" w:themeFill="accent6" w:themeFillTint="33"/>
            <w:vAlign w:val="center"/>
          </w:tcPr>
          <w:p w:rsidR="00771347" w:rsidRPr="008A01F9" w:rsidRDefault="00771347" w:rsidP="00BE4406">
            <w:pPr>
              <w:spacing w:before="0" w:after="0" w:line="240" w:lineRule="auto"/>
              <w:rPr>
                <w:rFonts w:cs="TimesNewRoman"/>
                <w:b/>
                <w:sz w:val="22"/>
                <w:szCs w:val="22"/>
              </w:rPr>
            </w:pPr>
            <w:r w:rsidRPr="008A01F9">
              <w:rPr>
                <w:rFonts w:cs="TimesNewRoman"/>
                <w:b/>
                <w:sz w:val="22"/>
                <w:szCs w:val="22"/>
              </w:rPr>
              <w:t>kg/cap locuitor</w:t>
            </w:r>
          </w:p>
        </w:tc>
        <w:tc>
          <w:tcPr>
            <w:tcW w:w="1843" w:type="dxa"/>
            <w:shd w:val="clear" w:color="auto" w:fill="C5E0B3" w:themeFill="accent6" w:themeFillTint="66"/>
            <w:vAlign w:val="center"/>
          </w:tcPr>
          <w:p w:rsidR="00771347" w:rsidRPr="008A01F9" w:rsidRDefault="00771347" w:rsidP="00BE4406">
            <w:pPr>
              <w:spacing w:before="0" w:after="0" w:line="240" w:lineRule="auto"/>
              <w:rPr>
                <w:rFonts w:cs="TimesNewRoman"/>
                <w:b/>
                <w:sz w:val="22"/>
                <w:szCs w:val="22"/>
              </w:rPr>
            </w:pPr>
            <w:r>
              <w:rPr>
                <w:rFonts w:cs="TimesNewRoman"/>
                <w:b/>
                <w:sz w:val="22"/>
                <w:szCs w:val="22"/>
              </w:rPr>
              <w:t>cantitate alimente risipite (tone)</w:t>
            </w:r>
          </w:p>
        </w:tc>
        <w:tc>
          <w:tcPr>
            <w:tcW w:w="1418" w:type="dxa"/>
            <w:shd w:val="clear" w:color="auto" w:fill="C5E0B3" w:themeFill="accent6" w:themeFillTint="66"/>
            <w:vAlign w:val="center"/>
          </w:tcPr>
          <w:p w:rsidR="00771347" w:rsidRPr="008A01F9" w:rsidRDefault="00771347" w:rsidP="00BE4406">
            <w:pPr>
              <w:spacing w:before="0" w:after="0" w:line="240" w:lineRule="auto"/>
              <w:rPr>
                <w:rFonts w:cs="TimesNewRoman"/>
                <w:b/>
                <w:sz w:val="22"/>
                <w:szCs w:val="22"/>
              </w:rPr>
            </w:pPr>
            <w:r w:rsidRPr="008A01F9">
              <w:rPr>
                <w:rFonts w:cs="TimesNewRoman"/>
                <w:b/>
                <w:sz w:val="22"/>
                <w:szCs w:val="22"/>
              </w:rPr>
              <w:t>kg/cap locuitor</w:t>
            </w:r>
          </w:p>
        </w:tc>
        <w:tc>
          <w:tcPr>
            <w:tcW w:w="1454" w:type="dxa"/>
            <w:vMerge/>
            <w:shd w:val="clear" w:color="auto" w:fill="FBE4D5" w:themeFill="accent2" w:themeFillTint="33"/>
            <w:vAlign w:val="center"/>
          </w:tcPr>
          <w:p w:rsidR="00771347" w:rsidRPr="008A01F9" w:rsidRDefault="00771347" w:rsidP="00BE4406">
            <w:pPr>
              <w:spacing w:before="0" w:after="0" w:line="240" w:lineRule="auto"/>
              <w:rPr>
                <w:rFonts w:cs="TimesNewRoman"/>
                <w:b/>
                <w:sz w:val="22"/>
                <w:szCs w:val="22"/>
              </w:rPr>
            </w:pPr>
          </w:p>
        </w:tc>
      </w:tr>
      <w:tr w:rsidR="00BE4406" w:rsidRPr="008A01F9" w:rsidTr="00454230">
        <w:trPr>
          <w:jc w:val="center"/>
        </w:trPr>
        <w:tc>
          <w:tcPr>
            <w:tcW w:w="2074" w:type="dxa"/>
            <w:shd w:val="clear" w:color="auto" w:fill="EDEDED" w:themeFill="accent3" w:themeFillTint="33"/>
            <w:vAlign w:val="center"/>
          </w:tcPr>
          <w:p w:rsidR="00BE4406" w:rsidRPr="008A01F9" w:rsidRDefault="00BE4406" w:rsidP="00BE4406">
            <w:pPr>
              <w:spacing w:before="0" w:after="0" w:line="240" w:lineRule="auto"/>
              <w:rPr>
                <w:rFonts w:cs="TimesNewRoman"/>
                <w:b/>
                <w:sz w:val="22"/>
                <w:szCs w:val="22"/>
              </w:rPr>
            </w:pPr>
            <w:r w:rsidRPr="008A01F9">
              <w:rPr>
                <w:rFonts w:cs="TimesNewRoman"/>
                <w:b/>
                <w:sz w:val="22"/>
                <w:szCs w:val="22"/>
              </w:rPr>
              <w:t>Producţie/ fabricare</w:t>
            </w:r>
          </w:p>
        </w:tc>
        <w:tc>
          <w:tcPr>
            <w:tcW w:w="1556"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487.751</w:t>
            </w:r>
          </w:p>
        </w:tc>
        <w:tc>
          <w:tcPr>
            <w:tcW w:w="1383"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23</w:t>
            </w:r>
          </w:p>
        </w:tc>
        <w:tc>
          <w:tcPr>
            <w:tcW w:w="1843" w:type="dxa"/>
            <w:shd w:val="clear" w:color="auto" w:fill="C5E0B3" w:themeFill="accent6" w:themeFillTint="66"/>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955.080</w:t>
            </w:r>
          </w:p>
        </w:tc>
        <w:tc>
          <w:tcPr>
            <w:tcW w:w="1418" w:type="dxa"/>
            <w:shd w:val="clear" w:color="auto" w:fill="C5E0B3" w:themeFill="accent6" w:themeFillTint="66"/>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48</w:t>
            </w:r>
          </w:p>
        </w:tc>
        <w:tc>
          <w:tcPr>
            <w:tcW w:w="1454" w:type="dxa"/>
            <w:shd w:val="clear" w:color="auto" w:fill="FBE4D5" w:themeFill="accent2"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31</w:t>
            </w:r>
          </w:p>
        </w:tc>
      </w:tr>
      <w:tr w:rsidR="00BE4406" w:rsidRPr="008A01F9" w:rsidTr="00454230">
        <w:trPr>
          <w:jc w:val="center"/>
        </w:trPr>
        <w:tc>
          <w:tcPr>
            <w:tcW w:w="2074" w:type="dxa"/>
            <w:shd w:val="clear" w:color="auto" w:fill="EDEDED" w:themeFill="accent3" w:themeFillTint="33"/>
            <w:vAlign w:val="center"/>
          </w:tcPr>
          <w:p w:rsidR="00BE4406" w:rsidRPr="008A01F9" w:rsidRDefault="00BE4406" w:rsidP="00BE4406">
            <w:pPr>
              <w:spacing w:before="0" w:after="0" w:line="240" w:lineRule="auto"/>
              <w:rPr>
                <w:rFonts w:cs="TimesNewRoman"/>
                <w:b/>
                <w:sz w:val="22"/>
                <w:szCs w:val="22"/>
              </w:rPr>
            </w:pPr>
            <w:r>
              <w:rPr>
                <w:rFonts w:cs="TimesNewRoman"/>
                <w:b/>
                <w:sz w:val="22"/>
                <w:szCs w:val="22"/>
              </w:rPr>
              <w:t>Gospodării</w:t>
            </w:r>
          </w:p>
        </w:tc>
        <w:tc>
          <w:tcPr>
            <w:tcW w:w="1556"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696.794</w:t>
            </w:r>
          </w:p>
        </w:tc>
        <w:tc>
          <w:tcPr>
            <w:tcW w:w="1383"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32</w:t>
            </w:r>
          </w:p>
        </w:tc>
        <w:tc>
          <w:tcPr>
            <w:tcW w:w="1843" w:type="dxa"/>
            <w:shd w:val="clear" w:color="auto" w:fill="C5E0B3" w:themeFill="accent6" w:themeFillTint="66"/>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1.409.880</w:t>
            </w:r>
          </w:p>
        </w:tc>
        <w:tc>
          <w:tcPr>
            <w:tcW w:w="1418" w:type="dxa"/>
            <w:shd w:val="clear" w:color="auto" w:fill="C5E0B3" w:themeFill="accent6" w:themeFillTint="66"/>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74</w:t>
            </w:r>
          </w:p>
        </w:tc>
        <w:tc>
          <w:tcPr>
            <w:tcW w:w="1454" w:type="dxa"/>
            <w:shd w:val="clear" w:color="auto" w:fill="FBE4D5" w:themeFill="accent2"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21</w:t>
            </w:r>
          </w:p>
        </w:tc>
      </w:tr>
      <w:tr w:rsidR="00BE4406" w:rsidRPr="008A01F9" w:rsidTr="00454230">
        <w:trPr>
          <w:jc w:val="center"/>
        </w:trPr>
        <w:tc>
          <w:tcPr>
            <w:tcW w:w="2074" w:type="dxa"/>
            <w:shd w:val="clear" w:color="auto" w:fill="EDEDED" w:themeFill="accent3" w:themeFillTint="33"/>
            <w:vAlign w:val="center"/>
          </w:tcPr>
          <w:p w:rsidR="00BE4406" w:rsidRPr="008A01F9" w:rsidRDefault="00BE4406" w:rsidP="00BE4406">
            <w:pPr>
              <w:spacing w:before="0" w:after="0" w:line="240" w:lineRule="auto"/>
              <w:rPr>
                <w:rFonts w:cs="TimesNewRoman"/>
                <w:b/>
                <w:sz w:val="22"/>
                <w:szCs w:val="22"/>
              </w:rPr>
            </w:pPr>
            <w:r>
              <w:rPr>
                <w:rFonts w:cs="TimesNewRoman"/>
                <w:b/>
                <w:sz w:val="22"/>
                <w:szCs w:val="22"/>
              </w:rPr>
              <w:t>Alte sectoare</w:t>
            </w:r>
          </w:p>
        </w:tc>
        <w:tc>
          <w:tcPr>
            <w:tcW w:w="1556"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1.089.000</w:t>
            </w:r>
          </w:p>
        </w:tc>
        <w:tc>
          <w:tcPr>
            <w:tcW w:w="1383"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50</w:t>
            </w:r>
          </w:p>
        </w:tc>
        <w:tc>
          <w:tcPr>
            <w:tcW w:w="1843" w:type="dxa"/>
            <w:shd w:val="clear" w:color="auto" w:fill="C5E0B3" w:themeFill="accent6" w:themeFillTint="66"/>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2.183.040</w:t>
            </w:r>
          </w:p>
        </w:tc>
        <w:tc>
          <w:tcPr>
            <w:tcW w:w="1418" w:type="dxa"/>
            <w:shd w:val="clear" w:color="auto" w:fill="C5E0B3" w:themeFill="accent6" w:themeFillTint="66"/>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111</w:t>
            </w:r>
          </w:p>
        </w:tc>
        <w:tc>
          <w:tcPr>
            <w:tcW w:w="1454" w:type="dxa"/>
            <w:shd w:val="clear" w:color="auto" w:fill="FBE4D5" w:themeFill="accent2"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48</w:t>
            </w:r>
          </w:p>
        </w:tc>
      </w:tr>
      <w:tr w:rsidR="00BE4406" w:rsidRPr="008A01F9" w:rsidTr="00454230">
        <w:trPr>
          <w:jc w:val="center"/>
        </w:trPr>
        <w:tc>
          <w:tcPr>
            <w:tcW w:w="2074" w:type="dxa"/>
            <w:shd w:val="clear" w:color="auto" w:fill="FFF2CC" w:themeFill="accent4" w:themeFillTint="33"/>
            <w:vAlign w:val="center"/>
          </w:tcPr>
          <w:p w:rsidR="00BE4406" w:rsidRDefault="00BE4406" w:rsidP="00BE4406">
            <w:pPr>
              <w:spacing w:before="0" w:after="0" w:line="240" w:lineRule="auto"/>
              <w:rPr>
                <w:rFonts w:cs="TimesNewRoman"/>
                <w:b/>
                <w:sz w:val="22"/>
                <w:szCs w:val="22"/>
              </w:rPr>
            </w:pPr>
            <w:r>
              <w:rPr>
                <w:rFonts w:cs="TimesNewRoman"/>
                <w:b/>
                <w:sz w:val="22"/>
                <w:szCs w:val="22"/>
              </w:rPr>
              <w:t>Total</w:t>
            </w:r>
          </w:p>
        </w:tc>
        <w:tc>
          <w:tcPr>
            <w:tcW w:w="1556" w:type="dxa"/>
            <w:shd w:val="clear" w:color="auto" w:fill="FFF2CC" w:themeFill="accent4" w:themeFillTint="33"/>
            <w:vAlign w:val="center"/>
          </w:tcPr>
          <w:p w:rsidR="00BE4406" w:rsidRPr="00BE4406" w:rsidRDefault="00BE4406" w:rsidP="00BE4406">
            <w:pPr>
              <w:spacing w:before="0" w:after="0" w:line="240" w:lineRule="auto"/>
              <w:jc w:val="center"/>
              <w:rPr>
                <w:rFonts w:cs="TimesNewRoman"/>
                <w:b/>
                <w:sz w:val="22"/>
                <w:szCs w:val="22"/>
              </w:rPr>
            </w:pPr>
            <w:r w:rsidRPr="00BE4406">
              <w:rPr>
                <w:rFonts w:cs="TimesNewRoman"/>
                <w:b/>
                <w:sz w:val="22"/>
                <w:szCs w:val="22"/>
              </w:rPr>
              <w:t>2.274.000</w:t>
            </w:r>
          </w:p>
        </w:tc>
        <w:tc>
          <w:tcPr>
            <w:tcW w:w="1383" w:type="dxa"/>
            <w:shd w:val="clear" w:color="auto" w:fill="FFF2CC" w:themeFill="accent4" w:themeFillTint="33"/>
            <w:vAlign w:val="center"/>
          </w:tcPr>
          <w:p w:rsidR="00BE4406" w:rsidRPr="008A01F9" w:rsidRDefault="00BE4406" w:rsidP="00BE4406">
            <w:pPr>
              <w:spacing w:before="0" w:after="0" w:line="240" w:lineRule="auto"/>
              <w:jc w:val="center"/>
              <w:rPr>
                <w:rFonts w:cs="TimesNewRoman"/>
                <w:b/>
                <w:sz w:val="22"/>
                <w:szCs w:val="22"/>
              </w:rPr>
            </w:pPr>
            <w:r>
              <w:rPr>
                <w:rFonts w:cs="TimesNewRoman"/>
                <w:b/>
                <w:sz w:val="22"/>
                <w:szCs w:val="22"/>
              </w:rPr>
              <w:t>105</w:t>
            </w:r>
          </w:p>
        </w:tc>
        <w:tc>
          <w:tcPr>
            <w:tcW w:w="1843" w:type="dxa"/>
            <w:shd w:val="clear" w:color="auto" w:fill="FFF2CC" w:themeFill="accent4" w:themeFillTint="33"/>
            <w:vAlign w:val="center"/>
          </w:tcPr>
          <w:p w:rsidR="00BE4406" w:rsidRPr="008A01F9" w:rsidRDefault="00BE4406" w:rsidP="00BE4406">
            <w:pPr>
              <w:spacing w:before="0" w:after="0" w:line="240" w:lineRule="auto"/>
              <w:jc w:val="center"/>
              <w:rPr>
                <w:rFonts w:cs="TimesNewRoman"/>
                <w:b/>
                <w:sz w:val="22"/>
                <w:szCs w:val="22"/>
              </w:rPr>
            </w:pPr>
            <w:r w:rsidRPr="00BE4406">
              <w:rPr>
                <w:rFonts w:cs="TimesNewRoman"/>
                <w:b/>
                <w:sz w:val="22"/>
                <w:szCs w:val="22"/>
              </w:rPr>
              <w:t>4</w:t>
            </w:r>
            <w:r>
              <w:rPr>
                <w:rFonts w:cs="TimesNewRoman"/>
                <w:b/>
                <w:sz w:val="22"/>
                <w:szCs w:val="22"/>
              </w:rPr>
              <w:t>.</w:t>
            </w:r>
            <w:r w:rsidRPr="00BE4406">
              <w:rPr>
                <w:rFonts w:cs="TimesNewRoman"/>
                <w:b/>
                <w:sz w:val="22"/>
                <w:szCs w:val="22"/>
              </w:rPr>
              <w:t>548</w:t>
            </w:r>
            <w:r>
              <w:rPr>
                <w:rFonts w:cs="TimesNewRoman"/>
                <w:b/>
                <w:sz w:val="22"/>
                <w:szCs w:val="22"/>
              </w:rPr>
              <w:t>.</w:t>
            </w:r>
            <w:r w:rsidRPr="00BE4406">
              <w:rPr>
                <w:rFonts w:cs="TimesNewRoman"/>
                <w:b/>
                <w:sz w:val="22"/>
                <w:szCs w:val="22"/>
              </w:rPr>
              <w:t>000</w:t>
            </w:r>
          </w:p>
        </w:tc>
        <w:tc>
          <w:tcPr>
            <w:tcW w:w="1418" w:type="dxa"/>
            <w:shd w:val="clear" w:color="auto" w:fill="FFF2CC" w:themeFill="accent4" w:themeFillTint="33"/>
            <w:vAlign w:val="center"/>
          </w:tcPr>
          <w:p w:rsidR="00BE4406" w:rsidRPr="008A01F9" w:rsidRDefault="00BE4406" w:rsidP="00BE4406">
            <w:pPr>
              <w:spacing w:before="0" w:after="0" w:line="240" w:lineRule="auto"/>
              <w:jc w:val="center"/>
              <w:rPr>
                <w:rFonts w:cs="TimesNewRoman"/>
                <w:b/>
                <w:sz w:val="22"/>
                <w:szCs w:val="22"/>
              </w:rPr>
            </w:pPr>
            <w:r>
              <w:rPr>
                <w:rFonts w:cs="TimesNewRoman"/>
                <w:b/>
                <w:sz w:val="22"/>
                <w:szCs w:val="22"/>
              </w:rPr>
              <w:t>230</w:t>
            </w:r>
          </w:p>
        </w:tc>
        <w:tc>
          <w:tcPr>
            <w:tcW w:w="1454" w:type="dxa"/>
            <w:shd w:val="clear" w:color="auto" w:fill="FFF2CC" w:themeFill="accent4" w:themeFillTint="33"/>
            <w:vAlign w:val="center"/>
          </w:tcPr>
          <w:p w:rsidR="00BE4406" w:rsidRPr="008A01F9" w:rsidRDefault="00BE4406" w:rsidP="00BE4406">
            <w:pPr>
              <w:spacing w:before="0" w:after="0" w:line="240" w:lineRule="auto"/>
              <w:jc w:val="center"/>
              <w:rPr>
                <w:rFonts w:cs="TimesNewRoman"/>
                <w:b/>
                <w:sz w:val="22"/>
                <w:szCs w:val="22"/>
              </w:rPr>
            </w:pPr>
            <w:r>
              <w:rPr>
                <w:rFonts w:cs="TimesNewRoman"/>
                <w:b/>
                <w:sz w:val="22"/>
                <w:szCs w:val="22"/>
              </w:rPr>
              <w:t>100</w:t>
            </w:r>
          </w:p>
        </w:tc>
      </w:tr>
      <w:tr w:rsidR="00BE4406" w:rsidRPr="008A01F9" w:rsidTr="00454230">
        <w:trPr>
          <w:jc w:val="center"/>
        </w:trPr>
        <w:tc>
          <w:tcPr>
            <w:tcW w:w="9728" w:type="dxa"/>
            <w:gridSpan w:val="6"/>
            <w:shd w:val="clear" w:color="auto" w:fill="FFD966" w:themeFill="accent4" w:themeFillTint="99"/>
          </w:tcPr>
          <w:p w:rsidR="00BE4406" w:rsidRPr="008A01F9" w:rsidRDefault="00BE4406" w:rsidP="00BE4406">
            <w:pPr>
              <w:spacing w:before="0" w:after="0" w:line="240" w:lineRule="auto"/>
              <w:jc w:val="center"/>
              <w:rPr>
                <w:rFonts w:cs="TimesNewRoman"/>
                <w:b/>
                <w:sz w:val="22"/>
                <w:szCs w:val="22"/>
              </w:rPr>
            </w:pPr>
            <w:r>
              <w:rPr>
                <w:rFonts w:cs="TimesNewRoman"/>
                <w:b/>
                <w:sz w:val="22"/>
                <w:szCs w:val="22"/>
              </w:rPr>
              <w:t>Scenariul 2</w:t>
            </w:r>
          </w:p>
        </w:tc>
      </w:tr>
      <w:tr w:rsidR="00BE4406" w:rsidRPr="008A01F9" w:rsidTr="00454230">
        <w:trPr>
          <w:jc w:val="center"/>
        </w:trPr>
        <w:tc>
          <w:tcPr>
            <w:tcW w:w="2074" w:type="dxa"/>
            <w:shd w:val="clear" w:color="auto" w:fill="EDEDED" w:themeFill="accent3" w:themeFillTint="33"/>
            <w:vAlign w:val="center"/>
          </w:tcPr>
          <w:p w:rsidR="00BE4406" w:rsidRPr="008A01F9" w:rsidRDefault="00BE4406" w:rsidP="00BE4406">
            <w:pPr>
              <w:spacing w:before="0" w:after="0" w:line="240" w:lineRule="auto"/>
              <w:rPr>
                <w:rFonts w:cs="TimesNewRoman"/>
                <w:b/>
                <w:sz w:val="22"/>
                <w:szCs w:val="22"/>
              </w:rPr>
            </w:pPr>
            <w:r w:rsidRPr="008A01F9">
              <w:rPr>
                <w:rFonts w:cs="TimesNewRoman"/>
                <w:b/>
                <w:sz w:val="22"/>
                <w:szCs w:val="22"/>
              </w:rPr>
              <w:t>Producţie/ fabricare</w:t>
            </w:r>
          </w:p>
        </w:tc>
        <w:tc>
          <w:tcPr>
            <w:tcW w:w="1556"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487.751</w:t>
            </w:r>
          </w:p>
        </w:tc>
        <w:tc>
          <w:tcPr>
            <w:tcW w:w="1383" w:type="dxa"/>
            <w:shd w:val="clear" w:color="auto" w:fill="E2EFD9" w:themeFill="accent6"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23</w:t>
            </w:r>
          </w:p>
        </w:tc>
        <w:tc>
          <w:tcPr>
            <w:tcW w:w="1843"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981.297</w:t>
            </w:r>
          </w:p>
        </w:tc>
        <w:tc>
          <w:tcPr>
            <w:tcW w:w="1418"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50</w:t>
            </w:r>
          </w:p>
        </w:tc>
        <w:tc>
          <w:tcPr>
            <w:tcW w:w="1454" w:type="dxa"/>
            <w:shd w:val="clear" w:color="auto" w:fill="FBE4D5" w:themeFill="accent2"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30</w:t>
            </w:r>
          </w:p>
        </w:tc>
      </w:tr>
      <w:tr w:rsidR="00BE4406" w:rsidRPr="008A01F9" w:rsidTr="00454230">
        <w:trPr>
          <w:jc w:val="center"/>
        </w:trPr>
        <w:tc>
          <w:tcPr>
            <w:tcW w:w="2074" w:type="dxa"/>
            <w:shd w:val="clear" w:color="auto" w:fill="EDEDED" w:themeFill="accent3" w:themeFillTint="33"/>
            <w:vAlign w:val="center"/>
          </w:tcPr>
          <w:p w:rsidR="00BE4406" w:rsidRPr="008A01F9" w:rsidRDefault="00BE4406" w:rsidP="00BE4406">
            <w:pPr>
              <w:spacing w:before="0" w:after="0" w:line="240" w:lineRule="auto"/>
              <w:rPr>
                <w:rFonts w:cs="TimesNewRoman"/>
                <w:b/>
                <w:sz w:val="22"/>
                <w:szCs w:val="22"/>
              </w:rPr>
            </w:pPr>
            <w:r>
              <w:rPr>
                <w:rFonts w:cs="TimesNewRoman"/>
                <w:b/>
                <w:sz w:val="22"/>
                <w:szCs w:val="22"/>
              </w:rPr>
              <w:t>Gospodării</w:t>
            </w:r>
          </w:p>
        </w:tc>
        <w:tc>
          <w:tcPr>
            <w:tcW w:w="1556"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696.794</w:t>
            </w:r>
          </w:p>
        </w:tc>
        <w:tc>
          <w:tcPr>
            <w:tcW w:w="1383" w:type="dxa"/>
            <w:shd w:val="clear" w:color="auto" w:fill="E2EFD9" w:themeFill="accent6"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32</w:t>
            </w:r>
          </w:p>
        </w:tc>
        <w:tc>
          <w:tcPr>
            <w:tcW w:w="1843"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1.373.815,8</w:t>
            </w:r>
          </w:p>
        </w:tc>
        <w:tc>
          <w:tcPr>
            <w:tcW w:w="1418"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69</w:t>
            </w:r>
          </w:p>
        </w:tc>
        <w:tc>
          <w:tcPr>
            <w:tcW w:w="1454" w:type="dxa"/>
            <w:shd w:val="clear" w:color="auto" w:fill="FBE4D5" w:themeFill="accent2"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42</w:t>
            </w:r>
          </w:p>
        </w:tc>
      </w:tr>
      <w:tr w:rsidR="00BE4406" w:rsidRPr="008A01F9" w:rsidTr="00454230">
        <w:trPr>
          <w:jc w:val="center"/>
        </w:trPr>
        <w:tc>
          <w:tcPr>
            <w:tcW w:w="2074" w:type="dxa"/>
            <w:shd w:val="clear" w:color="auto" w:fill="EDEDED" w:themeFill="accent3" w:themeFillTint="33"/>
            <w:vAlign w:val="center"/>
          </w:tcPr>
          <w:p w:rsidR="00BE4406" w:rsidRPr="008A01F9" w:rsidRDefault="00BE4406" w:rsidP="00BE4406">
            <w:pPr>
              <w:spacing w:before="0" w:after="0" w:line="240" w:lineRule="auto"/>
              <w:rPr>
                <w:rFonts w:cs="TimesNewRoman"/>
                <w:b/>
                <w:sz w:val="22"/>
                <w:szCs w:val="22"/>
              </w:rPr>
            </w:pPr>
            <w:r w:rsidRPr="00BE4406">
              <w:rPr>
                <w:rFonts w:cs="TimesNewRoman"/>
                <w:b/>
                <w:sz w:val="22"/>
                <w:szCs w:val="22"/>
              </w:rPr>
              <w:lastRenderedPageBreak/>
              <w:t>Retail/ En-gros</w:t>
            </w:r>
          </w:p>
        </w:tc>
        <w:tc>
          <w:tcPr>
            <w:tcW w:w="1556"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192.055</w:t>
            </w:r>
          </w:p>
        </w:tc>
        <w:tc>
          <w:tcPr>
            <w:tcW w:w="1383" w:type="dxa"/>
            <w:shd w:val="clear" w:color="auto" w:fill="E2EFD9" w:themeFill="accent6"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9</w:t>
            </w:r>
          </w:p>
        </w:tc>
        <w:tc>
          <w:tcPr>
            <w:tcW w:w="1843"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392.518,8</w:t>
            </w:r>
          </w:p>
        </w:tc>
        <w:tc>
          <w:tcPr>
            <w:tcW w:w="1418"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20</w:t>
            </w:r>
          </w:p>
        </w:tc>
        <w:tc>
          <w:tcPr>
            <w:tcW w:w="1454" w:type="dxa"/>
            <w:shd w:val="clear" w:color="auto" w:fill="FBE4D5" w:themeFill="accent2"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12</w:t>
            </w:r>
          </w:p>
        </w:tc>
      </w:tr>
      <w:tr w:rsidR="00BE4406" w:rsidRPr="008A01F9" w:rsidTr="00454230">
        <w:trPr>
          <w:jc w:val="center"/>
        </w:trPr>
        <w:tc>
          <w:tcPr>
            <w:tcW w:w="2074" w:type="dxa"/>
            <w:shd w:val="clear" w:color="auto" w:fill="EDEDED" w:themeFill="accent3" w:themeFillTint="33"/>
            <w:vAlign w:val="center"/>
          </w:tcPr>
          <w:p w:rsidR="00BE4406" w:rsidRPr="008A01F9" w:rsidRDefault="00BE4406" w:rsidP="00BE4406">
            <w:pPr>
              <w:spacing w:before="0" w:after="0" w:line="240" w:lineRule="auto"/>
              <w:rPr>
                <w:rFonts w:cs="TimesNewRoman"/>
                <w:b/>
                <w:sz w:val="22"/>
                <w:szCs w:val="22"/>
              </w:rPr>
            </w:pPr>
            <w:r w:rsidRPr="00BE4406">
              <w:rPr>
                <w:rFonts w:cs="TimesNewRoman"/>
                <w:b/>
                <w:sz w:val="22"/>
                <w:szCs w:val="22"/>
              </w:rPr>
              <w:t>Servicii alimentare /catering</w:t>
            </w:r>
          </w:p>
        </w:tc>
        <w:tc>
          <w:tcPr>
            <w:tcW w:w="1556" w:type="dxa"/>
            <w:shd w:val="clear" w:color="auto" w:fill="E2EFD9" w:themeFill="accent6" w:themeFillTint="33"/>
            <w:vAlign w:val="center"/>
          </w:tcPr>
          <w:p w:rsidR="00BE4406" w:rsidRPr="00BF0295" w:rsidRDefault="00BE4406" w:rsidP="00BE4406">
            <w:pPr>
              <w:spacing w:before="0" w:after="0" w:line="240" w:lineRule="auto"/>
              <w:jc w:val="center"/>
              <w:rPr>
                <w:rFonts w:cs="TimesNewRoman"/>
                <w:sz w:val="22"/>
                <w:szCs w:val="22"/>
              </w:rPr>
            </w:pPr>
            <w:r w:rsidRPr="00BF0295">
              <w:rPr>
                <w:rFonts w:cs="TimesNewRoman"/>
                <w:sz w:val="22"/>
                <w:szCs w:val="22"/>
              </w:rPr>
              <w:t>258.895</w:t>
            </w:r>
          </w:p>
        </w:tc>
        <w:tc>
          <w:tcPr>
            <w:tcW w:w="1383" w:type="dxa"/>
            <w:shd w:val="clear" w:color="auto" w:fill="E2EFD9" w:themeFill="accent6"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12</w:t>
            </w:r>
          </w:p>
        </w:tc>
        <w:tc>
          <w:tcPr>
            <w:tcW w:w="1843"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523.358,4</w:t>
            </w:r>
          </w:p>
        </w:tc>
        <w:tc>
          <w:tcPr>
            <w:tcW w:w="1418" w:type="dxa"/>
            <w:shd w:val="clear" w:color="auto" w:fill="C5E0B3" w:themeFill="accent6" w:themeFillTint="66"/>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26</w:t>
            </w:r>
          </w:p>
        </w:tc>
        <w:tc>
          <w:tcPr>
            <w:tcW w:w="1454" w:type="dxa"/>
            <w:shd w:val="clear" w:color="auto" w:fill="FBE4D5" w:themeFill="accent2" w:themeFillTint="33"/>
            <w:vAlign w:val="center"/>
          </w:tcPr>
          <w:p w:rsidR="00BE4406" w:rsidRPr="00BF0295" w:rsidRDefault="00F213CF" w:rsidP="00F213CF">
            <w:pPr>
              <w:spacing w:before="0" w:after="0" w:line="240" w:lineRule="auto"/>
              <w:jc w:val="center"/>
              <w:rPr>
                <w:rFonts w:cs="TimesNewRoman"/>
                <w:sz w:val="22"/>
                <w:szCs w:val="22"/>
              </w:rPr>
            </w:pPr>
            <w:r w:rsidRPr="00BF0295">
              <w:rPr>
                <w:rFonts w:cs="TimesNewRoman"/>
                <w:sz w:val="22"/>
                <w:szCs w:val="22"/>
              </w:rPr>
              <w:t>16</w:t>
            </w:r>
          </w:p>
        </w:tc>
      </w:tr>
      <w:tr w:rsidR="00BE4406" w:rsidRPr="008A01F9" w:rsidTr="00454230">
        <w:trPr>
          <w:jc w:val="center"/>
        </w:trPr>
        <w:tc>
          <w:tcPr>
            <w:tcW w:w="2074" w:type="dxa"/>
            <w:shd w:val="clear" w:color="auto" w:fill="FFF2CC" w:themeFill="accent4" w:themeFillTint="33"/>
            <w:vAlign w:val="center"/>
          </w:tcPr>
          <w:p w:rsidR="00BE4406" w:rsidRPr="00BE4406" w:rsidRDefault="00BE4406" w:rsidP="00BE4406">
            <w:pPr>
              <w:spacing w:before="0" w:after="0" w:line="240" w:lineRule="auto"/>
              <w:rPr>
                <w:rFonts w:cs="TimesNewRoman"/>
                <w:b/>
                <w:sz w:val="22"/>
                <w:szCs w:val="22"/>
              </w:rPr>
            </w:pPr>
            <w:r>
              <w:rPr>
                <w:rFonts w:cs="TimesNewRoman"/>
                <w:b/>
                <w:sz w:val="22"/>
                <w:szCs w:val="22"/>
              </w:rPr>
              <w:t>Total</w:t>
            </w:r>
          </w:p>
        </w:tc>
        <w:tc>
          <w:tcPr>
            <w:tcW w:w="1556" w:type="dxa"/>
            <w:shd w:val="clear" w:color="auto" w:fill="FFF2CC" w:themeFill="accent4" w:themeFillTint="33"/>
            <w:vAlign w:val="center"/>
          </w:tcPr>
          <w:p w:rsidR="00BE4406" w:rsidRPr="00BE4406" w:rsidRDefault="00F213CF" w:rsidP="00BE4406">
            <w:pPr>
              <w:spacing w:before="0" w:after="0" w:line="240" w:lineRule="auto"/>
              <w:jc w:val="center"/>
              <w:rPr>
                <w:rFonts w:cs="TimesNewRoman"/>
                <w:b/>
                <w:sz w:val="22"/>
                <w:szCs w:val="22"/>
              </w:rPr>
            </w:pPr>
            <w:r w:rsidRPr="00F213CF">
              <w:rPr>
                <w:rFonts w:cs="TimesNewRoman"/>
                <w:b/>
                <w:sz w:val="22"/>
                <w:szCs w:val="22"/>
              </w:rPr>
              <w:t>1</w:t>
            </w:r>
            <w:r>
              <w:rPr>
                <w:rFonts w:cs="TimesNewRoman"/>
                <w:b/>
                <w:sz w:val="22"/>
                <w:szCs w:val="22"/>
              </w:rPr>
              <w:t>.</w:t>
            </w:r>
            <w:r w:rsidRPr="00F213CF">
              <w:rPr>
                <w:rFonts w:cs="TimesNewRoman"/>
                <w:b/>
                <w:sz w:val="22"/>
                <w:szCs w:val="22"/>
              </w:rPr>
              <w:t>635</w:t>
            </w:r>
            <w:r>
              <w:rPr>
                <w:rFonts w:cs="TimesNewRoman"/>
                <w:b/>
                <w:sz w:val="22"/>
                <w:szCs w:val="22"/>
              </w:rPr>
              <w:t>.</w:t>
            </w:r>
            <w:r w:rsidRPr="00F213CF">
              <w:rPr>
                <w:rFonts w:cs="TimesNewRoman"/>
                <w:b/>
                <w:sz w:val="22"/>
                <w:szCs w:val="22"/>
              </w:rPr>
              <w:t>495</w:t>
            </w:r>
          </w:p>
        </w:tc>
        <w:tc>
          <w:tcPr>
            <w:tcW w:w="1383" w:type="dxa"/>
            <w:shd w:val="clear" w:color="auto" w:fill="FFF2CC" w:themeFill="accent4" w:themeFillTint="33"/>
            <w:vAlign w:val="center"/>
          </w:tcPr>
          <w:p w:rsidR="00BE4406" w:rsidRPr="008A01F9" w:rsidRDefault="00F213CF" w:rsidP="00F213CF">
            <w:pPr>
              <w:spacing w:before="0" w:after="0" w:line="240" w:lineRule="auto"/>
              <w:jc w:val="center"/>
              <w:rPr>
                <w:rFonts w:cs="TimesNewRoman"/>
                <w:b/>
                <w:sz w:val="22"/>
                <w:szCs w:val="22"/>
              </w:rPr>
            </w:pPr>
            <w:r>
              <w:rPr>
                <w:rFonts w:cs="TimesNewRoman"/>
                <w:b/>
                <w:sz w:val="22"/>
                <w:szCs w:val="22"/>
              </w:rPr>
              <w:t>76</w:t>
            </w:r>
          </w:p>
        </w:tc>
        <w:tc>
          <w:tcPr>
            <w:tcW w:w="1843" w:type="dxa"/>
            <w:shd w:val="clear" w:color="auto" w:fill="FFF2CC" w:themeFill="accent4" w:themeFillTint="33"/>
            <w:vAlign w:val="center"/>
          </w:tcPr>
          <w:p w:rsidR="00BE4406" w:rsidRPr="008A01F9" w:rsidRDefault="00F213CF" w:rsidP="00F213CF">
            <w:pPr>
              <w:spacing w:before="0" w:after="0" w:line="240" w:lineRule="auto"/>
              <w:jc w:val="center"/>
              <w:rPr>
                <w:rFonts w:cs="TimesNewRoman"/>
                <w:b/>
                <w:sz w:val="22"/>
                <w:szCs w:val="22"/>
              </w:rPr>
            </w:pPr>
            <w:r w:rsidRPr="00F213CF">
              <w:rPr>
                <w:rFonts w:cs="TimesNewRoman"/>
                <w:b/>
                <w:sz w:val="22"/>
                <w:szCs w:val="22"/>
              </w:rPr>
              <w:t>3</w:t>
            </w:r>
            <w:r>
              <w:rPr>
                <w:rFonts w:cs="TimesNewRoman"/>
                <w:b/>
                <w:sz w:val="22"/>
                <w:szCs w:val="22"/>
              </w:rPr>
              <w:t>.</w:t>
            </w:r>
            <w:r w:rsidRPr="00F213CF">
              <w:rPr>
                <w:rFonts w:cs="TimesNewRoman"/>
                <w:b/>
                <w:sz w:val="22"/>
                <w:szCs w:val="22"/>
              </w:rPr>
              <w:t>270</w:t>
            </w:r>
            <w:r>
              <w:rPr>
                <w:rFonts w:cs="TimesNewRoman"/>
                <w:b/>
                <w:sz w:val="22"/>
                <w:szCs w:val="22"/>
              </w:rPr>
              <w:t>.</w:t>
            </w:r>
            <w:r w:rsidRPr="00F213CF">
              <w:rPr>
                <w:rFonts w:cs="TimesNewRoman"/>
                <w:b/>
                <w:sz w:val="22"/>
                <w:szCs w:val="22"/>
              </w:rPr>
              <w:t>990</w:t>
            </w:r>
          </w:p>
        </w:tc>
        <w:tc>
          <w:tcPr>
            <w:tcW w:w="1418" w:type="dxa"/>
            <w:shd w:val="clear" w:color="auto" w:fill="FFF2CC" w:themeFill="accent4" w:themeFillTint="33"/>
            <w:vAlign w:val="center"/>
          </w:tcPr>
          <w:p w:rsidR="00BE4406" w:rsidRPr="008A01F9" w:rsidRDefault="00F213CF" w:rsidP="00F213CF">
            <w:pPr>
              <w:spacing w:before="0" w:after="0" w:line="240" w:lineRule="auto"/>
              <w:jc w:val="center"/>
              <w:rPr>
                <w:rFonts w:cs="TimesNewRoman"/>
                <w:b/>
                <w:sz w:val="22"/>
                <w:szCs w:val="22"/>
              </w:rPr>
            </w:pPr>
            <w:r>
              <w:rPr>
                <w:rFonts w:cs="TimesNewRoman"/>
                <w:b/>
                <w:sz w:val="22"/>
                <w:szCs w:val="22"/>
              </w:rPr>
              <w:t>165</w:t>
            </w:r>
          </w:p>
        </w:tc>
        <w:tc>
          <w:tcPr>
            <w:tcW w:w="1454" w:type="dxa"/>
            <w:shd w:val="clear" w:color="auto" w:fill="FFF2CC" w:themeFill="accent4" w:themeFillTint="33"/>
            <w:vAlign w:val="center"/>
          </w:tcPr>
          <w:p w:rsidR="00BE4406" w:rsidRPr="008A01F9" w:rsidRDefault="00F213CF" w:rsidP="00F213CF">
            <w:pPr>
              <w:spacing w:before="0" w:after="0" w:line="240" w:lineRule="auto"/>
              <w:jc w:val="center"/>
              <w:rPr>
                <w:rFonts w:cs="TimesNewRoman"/>
                <w:b/>
                <w:sz w:val="22"/>
                <w:szCs w:val="22"/>
              </w:rPr>
            </w:pPr>
            <w:r>
              <w:rPr>
                <w:rFonts w:cs="TimesNewRoman"/>
                <w:b/>
                <w:sz w:val="22"/>
                <w:szCs w:val="22"/>
              </w:rPr>
              <w:t>100</w:t>
            </w:r>
          </w:p>
        </w:tc>
      </w:tr>
    </w:tbl>
    <w:p w:rsidR="00771347" w:rsidRDefault="00771347">
      <w:pPr>
        <w:spacing w:before="0" w:after="160" w:line="259" w:lineRule="auto"/>
        <w:jc w:val="left"/>
        <w:rPr>
          <w:rFonts w:cs="TimesNewRoman"/>
          <w:b/>
        </w:rPr>
      </w:pPr>
    </w:p>
    <w:p w:rsidR="00E40728" w:rsidRDefault="005029ED" w:rsidP="005029ED">
      <w:r w:rsidRPr="005029ED">
        <w:t>Atât</w:t>
      </w:r>
      <w:r>
        <w:t xml:space="preserve"> în cazul datelor Eurostat 2006, cât şi în cazul estimărilor privind situaţia actuală, </w:t>
      </w:r>
      <w:r w:rsidRPr="00BF0295">
        <w:rPr>
          <w:b/>
        </w:rPr>
        <w:t>România se poziţionează sub media UE privind cantitatea de hrană risipită pe cap de locuitor</w:t>
      </w:r>
      <w:r>
        <w:t xml:space="preserve">: </w:t>
      </w:r>
      <w:r w:rsidRPr="00BF0295">
        <w:rPr>
          <w:b/>
        </w:rPr>
        <w:t>105</w:t>
      </w:r>
      <w:r>
        <w:t xml:space="preserve"> kg/ cap de locuitor – scenariul 1</w:t>
      </w:r>
      <w:r w:rsidR="00BF0295">
        <w:t>/</w:t>
      </w:r>
      <w:r>
        <w:t xml:space="preserve"> </w:t>
      </w:r>
      <w:r w:rsidRPr="00BF0295">
        <w:rPr>
          <w:b/>
        </w:rPr>
        <w:t>76</w:t>
      </w:r>
      <w:r>
        <w:t xml:space="preserve"> kg/ cap de locuitor – scenariul 2 faţă de </w:t>
      </w:r>
      <w:r w:rsidRPr="00BF0295">
        <w:rPr>
          <w:b/>
        </w:rPr>
        <w:t>179</w:t>
      </w:r>
      <w:r w:rsidRPr="005029ED">
        <w:t xml:space="preserve"> kg/ cap de locuitor</w:t>
      </w:r>
      <w:r>
        <w:t xml:space="preserve"> (media UE)</w:t>
      </w:r>
      <w:r w:rsidR="00BF0295">
        <w:t>,</w:t>
      </w:r>
      <w:r>
        <w:t xml:space="preserve"> respectiv </w:t>
      </w:r>
      <w:r w:rsidRPr="00BF0295">
        <w:rPr>
          <w:b/>
        </w:rPr>
        <w:t>230</w:t>
      </w:r>
      <w:r>
        <w:t xml:space="preserve"> g/ cap de locuitor – scenariul 1</w:t>
      </w:r>
      <w:r w:rsidR="00BF0295">
        <w:t>/</w:t>
      </w:r>
      <w:r>
        <w:t xml:space="preserve"> </w:t>
      </w:r>
      <w:r w:rsidRPr="00BF0295">
        <w:rPr>
          <w:b/>
        </w:rPr>
        <w:t>165</w:t>
      </w:r>
      <w:r>
        <w:t xml:space="preserve"> kg/ cap de locuitor – scenariul 2 faţă de </w:t>
      </w:r>
      <w:r w:rsidRPr="00BF0295">
        <w:rPr>
          <w:b/>
        </w:rPr>
        <w:t>351</w:t>
      </w:r>
      <w:r w:rsidRPr="005029ED">
        <w:t xml:space="preserve"> kg/ cap de locuitor</w:t>
      </w:r>
      <w:r>
        <w:t xml:space="preserve"> (media UE), conform estimărilor europene recente (î</w:t>
      </w:r>
      <w:r w:rsidRPr="00833556">
        <w:t>n perioada 2006 – 2012, risipa alimentar</w:t>
      </w:r>
      <w:r>
        <w:t>ă</w:t>
      </w:r>
      <w:r w:rsidRPr="00833556">
        <w:t xml:space="preserve"> s-a dublat la nivel european, ritm</w:t>
      </w:r>
      <w:r>
        <w:t>ul</w:t>
      </w:r>
      <w:r w:rsidRPr="00833556">
        <w:t xml:space="preserve"> de cre</w:t>
      </w:r>
      <w:r>
        <w:t>ş</w:t>
      </w:r>
      <w:r w:rsidRPr="00833556">
        <w:t xml:space="preserve">tere </w:t>
      </w:r>
      <w:r>
        <w:t xml:space="preserve">fiind </w:t>
      </w:r>
      <w:r w:rsidRPr="00833556">
        <w:t xml:space="preserve">din ce </w:t>
      </w:r>
      <w:r>
        <w:t>în ce mai mare)</w:t>
      </w:r>
      <w:r>
        <w:rPr>
          <w:rStyle w:val="FootnoteReference"/>
        </w:rPr>
        <w:footnoteReference w:id="4"/>
      </w:r>
      <w:r w:rsidR="00BF0295">
        <w:t>.</w:t>
      </w:r>
    </w:p>
    <w:p w:rsidR="00BF0295" w:rsidRPr="005029ED" w:rsidRDefault="00763355" w:rsidP="005029ED">
      <w:r>
        <w:t xml:space="preserve">Conform sondajului realizat în rândul consumatorilor din mediul urban, din cadrul studiului, aproximativ </w:t>
      </w:r>
      <w:r w:rsidRPr="00763355">
        <w:rPr>
          <w:b/>
        </w:rPr>
        <w:t>50 %</w:t>
      </w:r>
      <w:r>
        <w:t xml:space="preserve"> dintre </w:t>
      </w:r>
      <w:r w:rsidR="00C47205">
        <w:t>români</w:t>
      </w:r>
      <w:r>
        <w:t xml:space="preserve"> </w:t>
      </w:r>
      <w:r w:rsidRPr="006C2A61">
        <w:t xml:space="preserve">cheltuie </w:t>
      </w:r>
      <w:r w:rsidR="006C2A61" w:rsidRPr="006C2A61">
        <w:t>cca.</w:t>
      </w:r>
      <w:r w:rsidR="006C2A61">
        <w:rPr>
          <w:b/>
        </w:rPr>
        <w:t xml:space="preserve"> 40</w:t>
      </w:r>
      <w:r w:rsidRPr="00763355">
        <w:rPr>
          <w:b/>
        </w:rPr>
        <w:t xml:space="preserve"> % din venitul lunar pentru asigurarea hranei</w:t>
      </w:r>
      <w:r>
        <w:t xml:space="preserve">. </w:t>
      </w:r>
      <w:r w:rsidR="001957AB">
        <w:t xml:space="preserve">Dacă privim </w:t>
      </w:r>
      <w:r w:rsidR="001957AB" w:rsidRPr="00C47205">
        <w:rPr>
          <w:b/>
        </w:rPr>
        <w:t>din punct de vedere financiar</w:t>
      </w:r>
      <w:r w:rsidR="001957AB">
        <w:t>,</w:t>
      </w:r>
      <w:r>
        <w:t xml:space="preserve"> având în vedere că</w:t>
      </w:r>
      <w:r w:rsidR="001957AB">
        <w:t xml:space="preserve"> </w:t>
      </w:r>
      <w:r>
        <w:t xml:space="preserve">cele mai mari pierderi au loc la nivelul gospodăriilor (consumatorilor din mediul urban), </w:t>
      </w:r>
      <w:r w:rsidR="004E3084">
        <w:t xml:space="preserve">în </w:t>
      </w:r>
      <w:r w:rsidR="00AC6367" w:rsidRPr="00C47205">
        <w:rPr>
          <w:b/>
        </w:rPr>
        <w:t>România</w:t>
      </w:r>
      <w:r w:rsidR="004E3084" w:rsidRPr="00C47205">
        <w:rPr>
          <w:b/>
        </w:rPr>
        <w:t xml:space="preserve"> pierderile la nivelul sectorului de consumatori sunt </w:t>
      </w:r>
      <w:r w:rsidR="006C2A61" w:rsidRPr="00C47205">
        <w:rPr>
          <w:b/>
        </w:rPr>
        <w:t>de 3 – 4 ori</w:t>
      </w:r>
      <w:r w:rsidR="004E3084" w:rsidRPr="00C47205">
        <w:rPr>
          <w:b/>
        </w:rPr>
        <w:t xml:space="preserve"> </w:t>
      </w:r>
      <w:r w:rsidR="00C47205">
        <w:rPr>
          <w:b/>
        </w:rPr>
        <w:t xml:space="preserve">mai </w:t>
      </w:r>
      <w:r w:rsidR="004E3084" w:rsidRPr="00C47205">
        <w:rPr>
          <w:b/>
        </w:rPr>
        <w:t>mari</w:t>
      </w:r>
      <w:r w:rsidR="006C2A61">
        <w:t>,</w:t>
      </w:r>
      <w:r w:rsidR="000B2F9A" w:rsidRPr="000B2F9A">
        <w:rPr>
          <w:b/>
        </w:rPr>
        <w:t xml:space="preserve"> </w:t>
      </w:r>
      <w:r w:rsidR="000B2F9A" w:rsidRPr="00C47205">
        <w:rPr>
          <w:b/>
        </w:rPr>
        <w:t>comparativ cu alte state europene</w:t>
      </w:r>
      <w:r w:rsidR="000B2F9A">
        <w:t xml:space="preserve"> unde procentul cheltuit lunar din venitul mediu este mult mai mic (ex.: Franţa – </w:t>
      </w:r>
      <w:r w:rsidR="000B2F9A" w:rsidRPr="003A758E">
        <w:t>14 %</w:t>
      </w:r>
      <w:r w:rsidR="000B2F9A" w:rsidRPr="003A758E">
        <w:rPr>
          <w:rStyle w:val="FootnoteReference"/>
        </w:rPr>
        <w:footnoteReference w:id="5"/>
      </w:r>
      <w:r w:rsidR="000B2F9A" w:rsidRPr="003A758E">
        <w:t xml:space="preserve">, </w:t>
      </w:r>
      <w:r w:rsidR="003A758E">
        <w:t>Elveţia – 10 %</w:t>
      </w:r>
      <w:r w:rsidR="000B2F9A" w:rsidRPr="003A758E">
        <w:t>).</w:t>
      </w:r>
    </w:p>
    <w:p w:rsidR="004676B6" w:rsidRDefault="00C47205" w:rsidP="00C47205">
      <w:r>
        <w:t xml:space="preserve">În ceea ce priveşte </w:t>
      </w:r>
      <w:r w:rsidRPr="000D004D">
        <w:rPr>
          <w:b/>
        </w:rPr>
        <w:t>aspectul social</w:t>
      </w:r>
      <w:r>
        <w:t>, 25% din populaţia ţării, respectiv 4,74 milioane de persoane, trăiesc la limita sărăciei şi întâmpină dificultăţi în procurarea hranei zilnice.</w:t>
      </w:r>
    </w:p>
    <w:p w:rsidR="00FD6CCC" w:rsidRDefault="00FD6CCC" w:rsidP="00C47205">
      <w:pPr>
        <w:rPr>
          <w:rFonts w:cs="TimesNewRoman"/>
          <w:b/>
        </w:rPr>
      </w:pPr>
    </w:p>
    <w:p w:rsidR="000F79D8" w:rsidRPr="000F79D8" w:rsidRDefault="00C9584F" w:rsidP="000F79D8">
      <w:pPr>
        <w:pStyle w:val="Heading1"/>
      </w:pPr>
      <w:r w:rsidRPr="000F79D8">
        <w:t>Bariere</w:t>
      </w:r>
      <w:r w:rsidR="001D7826" w:rsidRPr="000F79D8">
        <w:t>/</w:t>
      </w:r>
      <w:r w:rsidRPr="000F79D8">
        <w:t xml:space="preserve"> </w:t>
      </w:r>
      <w:r w:rsidR="001D7826" w:rsidRPr="000F79D8">
        <w:t xml:space="preserve">constrângeri </w:t>
      </w:r>
      <w:r w:rsidR="000F79D8" w:rsidRPr="000F79D8">
        <w:t>şi f</w:t>
      </w:r>
      <w:r w:rsidR="000F79D8" w:rsidRPr="006B5553">
        <w:t xml:space="preserve">acilităţi </w:t>
      </w:r>
      <w:r w:rsidR="001D7826" w:rsidRPr="000F79D8">
        <w:t xml:space="preserve">identificate la nivelul sectoarelor </w:t>
      </w:r>
      <w:r w:rsidR="006B5553" w:rsidRPr="000F79D8">
        <w:t xml:space="preserve">relevante </w:t>
      </w:r>
      <w:r w:rsidR="001D7826" w:rsidRPr="000F79D8">
        <w:t>investigate</w:t>
      </w:r>
    </w:p>
    <w:p w:rsidR="007806A4" w:rsidRPr="009E3C9E" w:rsidRDefault="009E3C9E" w:rsidP="009E3C9E">
      <w:r>
        <w:t>P</w:t>
      </w:r>
      <w:r w:rsidRPr="009E3C9E">
        <w:t xml:space="preserve">rincipalele </w:t>
      </w:r>
      <w:r w:rsidRPr="009E3C9E">
        <w:rPr>
          <w:b/>
        </w:rPr>
        <w:t>bariere/ constrângeri</w:t>
      </w:r>
      <w:r w:rsidRPr="009E3C9E">
        <w:t xml:space="preserve"> şi </w:t>
      </w:r>
      <w:r w:rsidRPr="009E3C9E">
        <w:rPr>
          <w:b/>
        </w:rPr>
        <w:t>facilităţi</w:t>
      </w:r>
      <w:r w:rsidRPr="009E3C9E">
        <w:t xml:space="preserve"> </w:t>
      </w:r>
      <w:r w:rsidR="00791BC1" w:rsidRPr="00791BC1">
        <w:t xml:space="preserve">de natură logistică/ legislativă/ fiscală </w:t>
      </w:r>
      <w:r w:rsidRPr="009E3C9E">
        <w:t>care îngreunează/ împiedică, respectiv ar simplifica valor</w:t>
      </w:r>
      <w:r>
        <w:t xml:space="preserve">ificarea surplusului de alimente, </w:t>
      </w:r>
      <w:r w:rsidR="001B195B">
        <w:t>rezultate ca urmare a aplicării chestionarelor pentru fiecare din</w:t>
      </w:r>
      <w:r w:rsidR="001B195B" w:rsidRPr="009E3C9E">
        <w:t xml:space="preserve"> sectoarel</w:t>
      </w:r>
      <w:r w:rsidR="001B195B">
        <w:t>e</w:t>
      </w:r>
      <w:r w:rsidR="001B195B" w:rsidRPr="009E3C9E">
        <w:t xml:space="preserve"> relevante investigate, </w:t>
      </w:r>
      <w:r>
        <w:t xml:space="preserve">sunt prezentate schematic în </w:t>
      </w:r>
      <w:r>
        <w:fldChar w:fldCharType="begin"/>
      </w:r>
      <w:r>
        <w:instrText xml:space="preserve"> REF _Ref467078443 \h </w:instrText>
      </w:r>
      <w:r>
        <w:fldChar w:fldCharType="separate"/>
      </w:r>
      <w:r>
        <w:t xml:space="preserve">Tabelul nr. </w:t>
      </w:r>
      <w:r>
        <w:rPr>
          <w:noProof/>
        </w:rPr>
        <w:t>2</w:t>
      </w:r>
      <w:r>
        <w:fldChar w:fldCharType="end"/>
      </w:r>
      <w:r>
        <w:t>.</w:t>
      </w:r>
    </w:p>
    <w:p w:rsidR="009E3C9E" w:rsidRDefault="009E3C9E" w:rsidP="007806A4">
      <w:pPr>
        <w:pStyle w:val="ListParagraph"/>
        <w:rPr>
          <w:rFonts w:cs="TimesNewRoman"/>
          <w:b/>
        </w:rPr>
        <w:sectPr w:rsidR="009E3C9E" w:rsidSect="00EF6F4C">
          <w:headerReference w:type="default" r:id="rId9"/>
          <w:footerReference w:type="default" r:id="rId10"/>
          <w:headerReference w:type="first" r:id="rId11"/>
          <w:footerReference w:type="first" r:id="rId12"/>
          <w:pgSz w:w="11906" w:h="16838" w:code="9"/>
          <w:pgMar w:top="1134" w:right="1134" w:bottom="1134" w:left="1418" w:header="567" w:footer="567" w:gutter="0"/>
          <w:cols w:space="708"/>
          <w:titlePg/>
          <w:docGrid w:linePitch="360"/>
        </w:sectPr>
      </w:pPr>
    </w:p>
    <w:p w:rsidR="00557004" w:rsidRDefault="00557004" w:rsidP="00557004">
      <w:pPr>
        <w:pStyle w:val="Caption"/>
        <w:keepNext/>
      </w:pPr>
      <w:bookmarkStart w:id="2" w:name="_Ref467078443"/>
      <w:r>
        <w:lastRenderedPageBreak/>
        <w:t xml:space="preserve">Tabel nr. </w:t>
      </w:r>
      <w:fldSimple w:instr=" SEQ Tabel_nr. \* ARABIC ">
        <w:r>
          <w:rPr>
            <w:noProof/>
          </w:rPr>
          <w:t>2</w:t>
        </w:r>
      </w:fldSimple>
      <w:bookmarkEnd w:id="2"/>
      <w:r w:rsidR="008D3690">
        <w:t xml:space="preserve"> Bariere/ constrângeri şi facilităţi identificate la nivelul sectoarelor relevante investigate,</w:t>
      </w:r>
      <w:r w:rsidR="008D3690" w:rsidRPr="008D3690">
        <w:t xml:space="preserve"> care îngreunează/ împiedică</w:t>
      </w:r>
      <w:r w:rsidR="008D3690">
        <w:t xml:space="preserve">, respectiv ar simplifica </w:t>
      </w:r>
      <w:r w:rsidR="008D3690" w:rsidRPr="006B5553">
        <w:t>valorificarea surplusului de alimente</w:t>
      </w:r>
    </w:p>
    <w:tbl>
      <w:tblPr>
        <w:tblStyle w:val="TableGrid"/>
        <w:tblW w:w="16656" w:type="dxa"/>
        <w:jc w:val="center"/>
        <w:tblInd w:w="-856" w:type="dxa"/>
        <w:tblLook w:val="04A0" w:firstRow="1" w:lastRow="0" w:firstColumn="1" w:lastColumn="0" w:noHBand="0" w:noVBand="1"/>
      </w:tblPr>
      <w:tblGrid>
        <w:gridCol w:w="2177"/>
        <w:gridCol w:w="3802"/>
        <w:gridCol w:w="3773"/>
        <w:gridCol w:w="3340"/>
        <w:gridCol w:w="3564"/>
      </w:tblGrid>
      <w:tr w:rsidR="00DA6590" w:rsidRPr="00594023" w:rsidTr="008B2288">
        <w:trPr>
          <w:tblHeader/>
          <w:jc w:val="center"/>
        </w:trPr>
        <w:tc>
          <w:tcPr>
            <w:tcW w:w="2177" w:type="dxa"/>
            <w:shd w:val="clear" w:color="auto" w:fill="EF7F31"/>
            <w:vAlign w:val="center"/>
          </w:tcPr>
          <w:p w:rsidR="00594023" w:rsidRPr="00594023" w:rsidRDefault="00594023" w:rsidP="00594023">
            <w:pPr>
              <w:pStyle w:val="ListParagraph"/>
              <w:spacing w:before="0" w:after="0" w:line="240" w:lineRule="auto"/>
              <w:ind w:left="0"/>
              <w:jc w:val="center"/>
              <w:rPr>
                <w:rFonts w:cs="TimesNewRoman"/>
                <w:b/>
                <w:sz w:val="22"/>
                <w:szCs w:val="22"/>
              </w:rPr>
            </w:pPr>
            <w:r>
              <w:rPr>
                <w:rFonts w:cs="TimesNewRoman"/>
                <w:b/>
                <w:sz w:val="22"/>
                <w:szCs w:val="22"/>
              </w:rPr>
              <w:t>Natura barierei/ facilităţii identificate</w:t>
            </w:r>
          </w:p>
        </w:tc>
        <w:tc>
          <w:tcPr>
            <w:tcW w:w="3802" w:type="dxa"/>
            <w:shd w:val="clear" w:color="auto" w:fill="EF7F31"/>
            <w:vAlign w:val="center"/>
          </w:tcPr>
          <w:p w:rsidR="00594023" w:rsidRPr="00594023" w:rsidRDefault="00594023" w:rsidP="00594023">
            <w:pPr>
              <w:pStyle w:val="ListParagraph"/>
              <w:spacing w:before="0" w:after="0" w:line="240" w:lineRule="auto"/>
              <w:ind w:left="0"/>
              <w:jc w:val="center"/>
              <w:rPr>
                <w:rFonts w:cs="TimesNewRoman"/>
                <w:b/>
                <w:sz w:val="22"/>
                <w:szCs w:val="22"/>
              </w:rPr>
            </w:pPr>
            <w:r w:rsidRPr="00594023">
              <w:rPr>
                <w:rFonts w:cs="TimesNewRoman"/>
                <w:b/>
                <w:sz w:val="22"/>
                <w:szCs w:val="22"/>
              </w:rPr>
              <w:t>Producători/ procesatori</w:t>
            </w:r>
          </w:p>
        </w:tc>
        <w:tc>
          <w:tcPr>
            <w:tcW w:w="3773" w:type="dxa"/>
            <w:shd w:val="clear" w:color="auto" w:fill="EF7F31"/>
            <w:vAlign w:val="center"/>
          </w:tcPr>
          <w:p w:rsidR="00594023" w:rsidRPr="00594023" w:rsidRDefault="00594023" w:rsidP="00594023">
            <w:pPr>
              <w:pStyle w:val="ListParagraph"/>
              <w:spacing w:before="0" w:after="0" w:line="240" w:lineRule="auto"/>
              <w:ind w:left="0"/>
              <w:jc w:val="center"/>
              <w:rPr>
                <w:rFonts w:cs="TimesNewRoman"/>
                <w:b/>
                <w:sz w:val="22"/>
                <w:szCs w:val="22"/>
              </w:rPr>
            </w:pPr>
            <w:r w:rsidRPr="00594023">
              <w:rPr>
                <w:rFonts w:cs="TimesNewRoman"/>
                <w:b/>
                <w:sz w:val="22"/>
                <w:szCs w:val="22"/>
              </w:rPr>
              <w:t>Retaileri</w:t>
            </w:r>
          </w:p>
        </w:tc>
        <w:tc>
          <w:tcPr>
            <w:tcW w:w="3340" w:type="dxa"/>
            <w:shd w:val="clear" w:color="auto" w:fill="EF7F31"/>
            <w:vAlign w:val="center"/>
          </w:tcPr>
          <w:p w:rsidR="00594023" w:rsidRPr="00594023" w:rsidRDefault="00594023" w:rsidP="00594023">
            <w:pPr>
              <w:pStyle w:val="ListParagraph"/>
              <w:spacing w:before="0" w:after="0" w:line="240" w:lineRule="auto"/>
              <w:ind w:left="0"/>
              <w:jc w:val="center"/>
              <w:rPr>
                <w:rFonts w:cs="TimesNewRoman"/>
                <w:b/>
                <w:sz w:val="22"/>
                <w:szCs w:val="22"/>
              </w:rPr>
            </w:pPr>
            <w:r w:rsidRPr="00594023">
              <w:rPr>
                <w:rFonts w:cs="TimesNewRoman"/>
                <w:b/>
                <w:sz w:val="22"/>
                <w:szCs w:val="22"/>
              </w:rPr>
              <w:t>Consumatori</w:t>
            </w:r>
          </w:p>
        </w:tc>
        <w:tc>
          <w:tcPr>
            <w:tcW w:w="3564" w:type="dxa"/>
            <w:shd w:val="clear" w:color="auto" w:fill="EF7F31"/>
            <w:vAlign w:val="center"/>
          </w:tcPr>
          <w:p w:rsidR="00594023" w:rsidRPr="00594023" w:rsidRDefault="00594023" w:rsidP="00594023">
            <w:pPr>
              <w:pStyle w:val="ListParagraph"/>
              <w:spacing w:before="0" w:after="0" w:line="240" w:lineRule="auto"/>
              <w:ind w:left="0"/>
              <w:jc w:val="center"/>
              <w:rPr>
                <w:rFonts w:cs="TimesNewRoman"/>
                <w:b/>
                <w:sz w:val="22"/>
                <w:szCs w:val="22"/>
              </w:rPr>
            </w:pPr>
            <w:r>
              <w:rPr>
                <w:rFonts w:cs="TimesNewRoman"/>
                <w:b/>
                <w:sz w:val="22"/>
                <w:szCs w:val="22"/>
              </w:rPr>
              <w:t>Instituţii/ organizaţii</w:t>
            </w:r>
            <w:r w:rsidRPr="00594023">
              <w:rPr>
                <w:rFonts w:cs="TimesNewRoman"/>
                <w:b/>
                <w:sz w:val="22"/>
                <w:szCs w:val="22"/>
              </w:rPr>
              <w:t>/ beneficiari ai produselor alimentare deteriorate/ pe cale de expirare</w:t>
            </w:r>
          </w:p>
        </w:tc>
      </w:tr>
      <w:tr w:rsidR="00594023" w:rsidRPr="00594023" w:rsidTr="008E556F">
        <w:trPr>
          <w:jc w:val="center"/>
        </w:trPr>
        <w:tc>
          <w:tcPr>
            <w:tcW w:w="16656" w:type="dxa"/>
            <w:gridSpan w:val="5"/>
            <w:shd w:val="clear" w:color="auto" w:fill="FFC000" w:themeFill="accent4"/>
            <w:vAlign w:val="center"/>
          </w:tcPr>
          <w:p w:rsidR="00594023" w:rsidRPr="00594023" w:rsidRDefault="00594023" w:rsidP="00594023">
            <w:pPr>
              <w:pStyle w:val="ListParagraph"/>
              <w:spacing w:before="0" w:after="0" w:line="240" w:lineRule="auto"/>
              <w:ind w:left="0"/>
              <w:jc w:val="center"/>
              <w:rPr>
                <w:rFonts w:cs="TimesNewRoman"/>
                <w:b/>
                <w:sz w:val="22"/>
                <w:szCs w:val="22"/>
              </w:rPr>
            </w:pPr>
            <w:r w:rsidRPr="00594023">
              <w:rPr>
                <w:rFonts w:cs="TimesNewRoman"/>
                <w:b/>
                <w:sz w:val="22"/>
                <w:szCs w:val="22"/>
              </w:rPr>
              <w:t>Bariere/ constrângeri</w:t>
            </w:r>
          </w:p>
        </w:tc>
      </w:tr>
      <w:tr w:rsidR="00DA6590" w:rsidRPr="00594023" w:rsidTr="008B2288">
        <w:trPr>
          <w:jc w:val="center"/>
        </w:trPr>
        <w:tc>
          <w:tcPr>
            <w:tcW w:w="2177" w:type="dxa"/>
            <w:vAlign w:val="center"/>
          </w:tcPr>
          <w:p w:rsidR="00594023" w:rsidRPr="00594023" w:rsidRDefault="00594023" w:rsidP="00594023">
            <w:pPr>
              <w:pStyle w:val="ListParagraph"/>
              <w:spacing w:before="0" w:after="0" w:line="240" w:lineRule="auto"/>
              <w:ind w:left="0"/>
              <w:jc w:val="center"/>
              <w:rPr>
                <w:rFonts w:cs="TimesNewRoman"/>
                <w:b/>
                <w:sz w:val="22"/>
                <w:szCs w:val="22"/>
              </w:rPr>
            </w:pPr>
            <w:r w:rsidRPr="00594023">
              <w:rPr>
                <w:rFonts w:cs="TimesNewRoman"/>
                <w:b/>
                <w:sz w:val="22"/>
                <w:szCs w:val="22"/>
              </w:rPr>
              <w:t>Legislative</w:t>
            </w:r>
          </w:p>
        </w:tc>
        <w:tc>
          <w:tcPr>
            <w:tcW w:w="3802" w:type="dxa"/>
            <w:vAlign w:val="center"/>
          </w:tcPr>
          <w:p w:rsidR="00594023" w:rsidRDefault="00557004"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 xml:space="preserve">lipsa </w:t>
            </w:r>
            <w:r w:rsidR="000635F2" w:rsidRPr="000635F2">
              <w:rPr>
                <w:rFonts w:cs="TimesNewRoman"/>
                <w:sz w:val="22"/>
                <w:szCs w:val="22"/>
              </w:rPr>
              <w:t>fiscaliz</w:t>
            </w:r>
            <w:r>
              <w:rPr>
                <w:rFonts w:cs="TimesNewRoman"/>
                <w:sz w:val="22"/>
                <w:szCs w:val="22"/>
              </w:rPr>
              <w:t>ă</w:t>
            </w:r>
            <w:r w:rsidR="000635F2" w:rsidRPr="000635F2">
              <w:rPr>
                <w:rFonts w:cs="TimesNewRoman"/>
                <w:sz w:val="22"/>
                <w:szCs w:val="22"/>
              </w:rPr>
              <w:t>r</w:t>
            </w:r>
            <w:r>
              <w:rPr>
                <w:rFonts w:cs="TimesNewRoman"/>
                <w:sz w:val="22"/>
                <w:szCs w:val="22"/>
              </w:rPr>
              <w:t xml:space="preserve">ii </w:t>
            </w:r>
            <w:r w:rsidR="000635F2" w:rsidRPr="000635F2">
              <w:rPr>
                <w:rFonts w:cs="TimesNewRoman"/>
                <w:sz w:val="22"/>
                <w:szCs w:val="22"/>
              </w:rPr>
              <w:t>donaţiilor</w:t>
            </w:r>
            <w:r w:rsidR="000635F2">
              <w:rPr>
                <w:rFonts w:cs="TimesNewRoman"/>
                <w:sz w:val="22"/>
                <w:szCs w:val="22"/>
              </w:rPr>
              <w:t>;</w:t>
            </w:r>
          </w:p>
          <w:p w:rsidR="000635F2" w:rsidRPr="000635F2" w:rsidRDefault="006B5553" w:rsidP="003808CC">
            <w:pPr>
              <w:pStyle w:val="ListParagraph"/>
              <w:numPr>
                <w:ilvl w:val="0"/>
                <w:numId w:val="6"/>
              </w:numPr>
              <w:spacing w:before="0" w:after="0" w:line="240" w:lineRule="auto"/>
              <w:ind w:left="284" w:hanging="284"/>
              <w:rPr>
                <w:rFonts w:cs="TimesNewRoman"/>
                <w:sz w:val="22"/>
                <w:szCs w:val="22"/>
              </w:rPr>
            </w:pPr>
            <w:r w:rsidRPr="006B5553">
              <w:rPr>
                <w:rFonts w:cs="TimesNewRoman"/>
                <w:sz w:val="22"/>
                <w:szCs w:val="22"/>
              </w:rPr>
              <w:t>birocraţia cu privire la modalităţile actuale de valorificare (formularele adecvate de transport, contractul legal, facturarea serviciilor, interschimbul de documente specifice trasabilităţii produselor etc.)</w:t>
            </w:r>
            <w:r w:rsidR="00A51A4B">
              <w:rPr>
                <w:rFonts w:cs="TimesNewRoman"/>
                <w:sz w:val="22"/>
                <w:szCs w:val="22"/>
              </w:rPr>
              <w:t>.</w:t>
            </w:r>
          </w:p>
        </w:tc>
        <w:tc>
          <w:tcPr>
            <w:tcW w:w="3773" w:type="dxa"/>
            <w:vAlign w:val="center"/>
          </w:tcPr>
          <w:p w:rsidR="00594023" w:rsidRDefault="00503AA3" w:rsidP="003808CC">
            <w:pPr>
              <w:pStyle w:val="ListParagraph"/>
              <w:numPr>
                <w:ilvl w:val="0"/>
                <w:numId w:val="6"/>
              </w:numPr>
              <w:spacing w:before="0" w:after="0" w:line="240" w:lineRule="auto"/>
              <w:ind w:left="284" w:hanging="284"/>
              <w:rPr>
                <w:rFonts w:cs="TimesNewRoman"/>
                <w:sz w:val="22"/>
                <w:szCs w:val="22"/>
              </w:rPr>
            </w:pPr>
            <w:r w:rsidRPr="00503AA3">
              <w:rPr>
                <w:rFonts w:cs="TimesNewRoman"/>
                <w:sz w:val="22"/>
                <w:szCs w:val="22"/>
              </w:rPr>
              <w:t>lipsa de transparenţă legislativă şi uniformitatea aplicării legislaţiei (ex.: „sunt autorităţi sanitare judeţene care acceptă livrarea de produse către adăposturi de câini şi altele care nu acceptă astfel de livrări”);</w:t>
            </w:r>
          </w:p>
          <w:p w:rsidR="00503AA3" w:rsidRDefault="00503AA3"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 xml:space="preserve">lipsa </w:t>
            </w:r>
            <w:r w:rsidRPr="000635F2">
              <w:rPr>
                <w:rFonts w:cs="TimesNewRoman"/>
                <w:sz w:val="22"/>
                <w:szCs w:val="22"/>
              </w:rPr>
              <w:t>fiscaliz</w:t>
            </w:r>
            <w:r>
              <w:rPr>
                <w:rFonts w:cs="TimesNewRoman"/>
                <w:sz w:val="22"/>
                <w:szCs w:val="22"/>
              </w:rPr>
              <w:t>ă</w:t>
            </w:r>
            <w:r w:rsidRPr="000635F2">
              <w:rPr>
                <w:rFonts w:cs="TimesNewRoman"/>
                <w:sz w:val="22"/>
                <w:szCs w:val="22"/>
              </w:rPr>
              <w:t>r</w:t>
            </w:r>
            <w:r>
              <w:rPr>
                <w:rFonts w:cs="TimesNewRoman"/>
                <w:sz w:val="22"/>
                <w:szCs w:val="22"/>
              </w:rPr>
              <w:t xml:space="preserve">ii </w:t>
            </w:r>
            <w:r w:rsidRPr="000635F2">
              <w:rPr>
                <w:rFonts w:cs="TimesNewRoman"/>
                <w:sz w:val="22"/>
                <w:szCs w:val="22"/>
              </w:rPr>
              <w:t>donaţiilor</w:t>
            </w:r>
            <w:r w:rsidR="001B7FA5">
              <w:rPr>
                <w:rFonts w:cs="TimesNewRoman"/>
                <w:sz w:val="22"/>
                <w:szCs w:val="22"/>
              </w:rPr>
              <w:t>.</w:t>
            </w:r>
          </w:p>
          <w:p w:rsidR="00503AA3" w:rsidRPr="000635F2" w:rsidRDefault="00503AA3" w:rsidP="00503AA3">
            <w:pPr>
              <w:pStyle w:val="ListParagraph"/>
              <w:spacing w:before="0" w:after="0" w:line="240" w:lineRule="auto"/>
              <w:ind w:left="284"/>
              <w:rPr>
                <w:rFonts w:cs="TimesNewRoman"/>
                <w:sz w:val="22"/>
                <w:szCs w:val="22"/>
              </w:rPr>
            </w:pPr>
          </w:p>
        </w:tc>
        <w:tc>
          <w:tcPr>
            <w:tcW w:w="3340" w:type="dxa"/>
            <w:vAlign w:val="center"/>
          </w:tcPr>
          <w:p w:rsidR="00594023" w:rsidRPr="000635F2" w:rsidRDefault="00990D64" w:rsidP="00990D64">
            <w:pPr>
              <w:pStyle w:val="ListParagraph"/>
              <w:spacing w:before="0" w:after="0" w:line="240" w:lineRule="auto"/>
              <w:ind w:left="0"/>
              <w:jc w:val="center"/>
              <w:rPr>
                <w:rFonts w:cs="TimesNewRoman"/>
                <w:sz w:val="22"/>
                <w:szCs w:val="22"/>
              </w:rPr>
            </w:pPr>
            <w:r>
              <w:rPr>
                <w:rFonts w:cs="TimesNewRoman"/>
                <w:sz w:val="22"/>
                <w:szCs w:val="22"/>
              </w:rPr>
              <w:t>-</w:t>
            </w:r>
          </w:p>
        </w:tc>
        <w:tc>
          <w:tcPr>
            <w:tcW w:w="3564" w:type="dxa"/>
            <w:vAlign w:val="center"/>
          </w:tcPr>
          <w:p w:rsidR="00594023" w:rsidRDefault="008E556F"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inexistenţa unei</w:t>
            </w:r>
            <w:r w:rsidRPr="008E556F">
              <w:rPr>
                <w:rFonts w:cs="TimesNewRoman"/>
                <w:sz w:val="22"/>
                <w:szCs w:val="22"/>
              </w:rPr>
              <w:t xml:space="preserve"> leg</w:t>
            </w:r>
            <w:r w:rsidR="00325FA3">
              <w:rPr>
                <w:rFonts w:cs="TimesNewRoman"/>
                <w:sz w:val="22"/>
                <w:szCs w:val="22"/>
              </w:rPr>
              <w:t>i</w:t>
            </w:r>
            <w:r w:rsidRPr="008E556F">
              <w:rPr>
                <w:rFonts w:cs="TimesNewRoman"/>
                <w:sz w:val="22"/>
                <w:szCs w:val="22"/>
              </w:rPr>
              <w:t xml:space="preserve"> care să reglementeze sponsorizarea în produse</w:t>
            </w:r>
            <w:r>
              <w:rPr>
                <w:rFonts w:cs="TimesNewRoman"/>
                <w:sz w:val="22"/>
                <w:szCs w:val="22"/>
              </w:rPr>
              <w:t>, precum</w:t>
            </w:r>
            <w:r w:rsidRPr="008E556F">
              <w:rPr>
                <w:rFonts w:cs="TimesNewRoman"/>
                <w:sz w:val="22"/>
                <w:szCs w:val="22"/>
              </w:rPr>
              <w:t xml:space="preserve"> şi </w:t>
            </w:r>
            <w:r>
              <w:rPr>
                <w:rFonts w:cs="TimesNewRoman"/>
                <w:sz w:val="22"/>
                <w:szCs w:val="22"/>
              </w:rPr>
              <w:t>a unei</w:t>
            </w:r>
            <w:r w:rsidRPr="008E556F">
              <w:rPr>
                <w:rFonts w:cs="TimesNewRoman"/>
                <w:sz w:val="22"/>
                <w:szCs w:val="22"/>
              </w:rPr>
              <w:t xml:space="preserve"> reglement</w:t>
            </w:r>
            <w:r>
              <w:rPr>
                <w:rFonts w:cs="TimesNewRoman"/>
                <w:sz w:val="22"/>
                <w:szCs w:val="22"/>
              </w:rPr>
              <w:t>ă</w:t>
            </w:r>
            <w:r w:rsidRPr="008E556F">
              <w:rPr>
                <w:rFonts w:cs="TimesNewRoman"/>
                <w:sz w:val="22"/>
                <w:szCs w:val="22"/>
              </w:rPr>
              <w:t>r</w:t>
            </w:r>
            <w:r>
              <w:rPr>
                <w:rFonts w:cs="TimesNewRoman"/>
                <w:sz w:val="22"/>
                <w:szCs w:val="22"/>
              </w:rPr>
              <w:t>i</w:t>
            </w:r>
            <w:r w:rsidRPr="008E556F">
              <w:rPr>
                <w:rFonts w:cs="TimesNewRoman"/>
                <w:sz w:val="22"/>
                <w:szCs w:val="22"/>
              </w:rPr>
              <w:t xml:space="preserve"> prin care produsele care nu prezintă pericol pentru consum să poate fi distribuite şi după expirarea termenului de garanţie (spre ex. conserve);</w:t>
            </w:r>
          </w:p>
          <w:p w:rsidR="007542A8" w:rsidRPr="007542A8" w:rsidRDefault="007542A8"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inexistenţa, până în momentul de faţă, a unei</w:t>
            </w:r>
            <w:r w:rsidRPr="007542A8">
              <w:rPr>
                <w:rFonts w:cs="TimesNewRoman"/>
                <w:sz w:val="22"/>
                <w:szCs w:val="22"/>
              </w:rPr>
              <w:t xml:space="preserve"> </w:t>
            </w:r>
            <w:r>
              <w:rPr>
                <w:rFonts w:cs="TimesNewRoman"/>
                <w:sz w:val="22"/>
                <w:szCs w:val="22"/>
              </w:rPr>
              <w:t>l</w:t>
            </w:r>
            <w:r w:rsidRPr="007542A8">
              <w:rPr>
                <w:rFonts w:cs="TimesNewRoman"/>
                <w:sz w:val="22"/>
                <w:szCs w:val="22"/>
              </w:rPr>
              <w:t>eg</w:t>
            </w:r>
            <w:r>
              <w:rPr>
                <w:rFonts w:cs="TimesNewRoman"/>
                <w:sz w:val="22"/>
                <w:szCs w:val="22"/>
              </w:rPr>
              <w:t>i</w:t>
            </w:r>
            <w:r w:rsidRPr="007542A8">
              <w:rPr>
                <w:rFonts w:cs="TimesNewRoman"/>
                <w:sz w:val="22"/>
                <w:szCs w:val="22"/>
              </w:rPr>
              <w:t xml:space="preserve"> clar</w:t>
            </w:r>
            <w:r>
              <w:rPr>
                <w:rFonts w:cs="TimesNewRoman"/>
                <w:sz w:val="22"/>
                <w:szCs w:val="22"/>
              </w:rPr>
              <w:t>e</w:t>
            </w:r>
            <w:r w:rsidRPr="007542A8">
              <w:rPr>
                <w:rFonts w:cs="TimesNewRoman"/>
                <w:sz w:val="22"/>
                <w:szCs w:val="22"/>
              </w:rPr>
              <w:t xml:space="preserve"> care să indice circuitul acestor alimente şi să aibă măsuri obligatorii către lanţuri</w:t>
            </w:r>
            <w:r>
              <w:rPr>
                <w:rFonts w:cs="TimesNewRoman"/>
                <w:sz w:val="22"/>
                <w:szCs w:val="22"/>
              </w:rPr>
              <w:t>le</w:t>
            </w:r>
            <w:r w:rsidRPr="007542A8">
              <w:rPr>
                <w:rFonts w:cs="TimesNewRoman"/>
                <w:sz w:val="22"/>
                <w:szCs w:val="22"/>
              </w:rPr>
              <w:t xml:space="preserve"> de magazine sau producători</w:t>
            </w:r>
            <w:r>
              <w:rPr>
                <w:rFonts w:cs="TimesNewRoman"/>
                <w:sz w:val="22"/>
                <w:szCs w:val="22"/>
              </w:rPr>
              <w:t>.</w:t>
            </w:r>
          </w:p>
        </w:tc>
      </w:tr>
      <w:tr w:rsidR="00DA6590" w:rsidRPr="00594023" w:rsidTr="008B2288">
        <w:trPr>
          <w:jc w:val="center"/>
        </w:trPr>
        <w:tc>
          <w:tcPr>
            <w:tcW w:w="2177" w:type="dxa"/>
            <w:vAlign w:val="center"/>
          </w:tcPr>
          <w:p w:rsidR="00594023" w:rsidRPr="00594023" w:rsidRDefault="00594023" w:rsidP="00594023">
            <w:pPr>
              <w:pStyle w:val="ListParagraph"/>
              <w:spacing w:before="0" w:after="0" w:line="240" w:lineRule="auto"/>
              <w:ind w:left="0"/>
              <w:jc w:val="center"/>
              <w:rPr>
                <w:rFonts w:cs="TimesNewRoman"/>
                <w:b/>
                <w:sz w:val="22"/>
                <w:szCs w:val="22"/>
              </w:rPr>
            </w:pPr>
            <w:r w:rsidRPr="00594023">
              <w:rPr>
                <w:rFonts w:cs="TimesNewRoman"/>
                <w:b/>
                <w:sz w:val="22"/>
                <w:szCs w:val="22"/>
              </w:rPr>
              <w:t>Logistice/ Administrative</w:t>
            </w:r>
          </w:p>
        </w:tc>
        <w:tc>
          <w:tcPr>
            <w:tcW w:w="3802" w:type="dxa"/>
            <w:vAlign w:val="center"/>
          </w:tcPr>
          <w:p w:rsidR="00594023" w:rsidRPr="000635F2" w:rsidRDefault="000635F2"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lipsa unor</w:t>
            </w:r>
            <w:r w:rsidRPr="000635F2">
              <w:rPr>
                <w:rFonts w:cs="TimesNewRoman"/>
                <w:sz w:val="22"/>
                <w:szCs w:val="22"/>
              </w:rPr>
              <w:t xml:space="preserve"> reţele active de distribuţie</w:t>
            </w:r>
            <w:r w:rsidR="00557004">
              <w:rPr>
                <w:rFonts w:cs="TimesNewRoman"/>
                <w:sz w:val="22"/>
                <w:szCs w:val="22"/>
              </w:rPr>
              <w:t xml:space="preserve"> a surplusului de alimente</w:t>
            </w:r>
            <w:r w:rsidR="00A51A4B">
              <w:rPr>
                <w:rFonts w:cs="TimesNewRoman"/>
                <w:sz w:val="22"/>
                <w:szCs w:val="22"/>
              </w:rPr>
              <w:t>.</w:t>
            </w:r>
          </w:p>
        </w:tc>
        <w:tc>
          <w:tcPr>
            <w:tcW w:w="3773" w:type="dxa"/>
            <w:vAlign w:val="center"/>
          </w:tcPr>
          <w:p w:rsidR="00503AA3" w:rsidRPr="001B7FA5" w:rsidRDefault="00503AA3" w:rsidP="003808CC">
            <w:pPr>
              <w:pStyle w:val="ListParagraph"/>
              <w:numPr>
                <w:ilvl w:val="0"/>
                <w:numId w:val="6"/>
              </w:numPr>
              <w:spacing w:before="0" w:after="0" w:line="240" w:lineRule="auto"/>
              <w:ind w:left="284" w:hanging="284"/>
              <w:rPr>
                <w:rFonts w:cs="TimesNewRoman"/>
                <w:sz w:val="22"/>
                <w:szCs w:val="22"/>
              </w:rPr>
            </w:pPr>
            <w:r w:rsidRPr="00503AA3">
              <w:rPr>
                <w:rFonts w:cs="TimesNewRoman"/>
                <w:sz w:val="22"/>
                <w:szCs w:val="22"/>
              </w:rPr>
              <w:t xml:space="preserve">lipsa facilităţilor logistice la nivelul celor </w:t>
            </w:r>
            <w:r w:rsidR="001B7FA5">
              <w:rPr>
                <w:rFonts w:cs="TimesNewRoman"/>
                <w:sz w:val="22"/>
                <w:szCs w:val="22"/>
              </w:rPr>
              <w:t>care preiau surplusul alimentar.</w:t>
            </w:r>
          </w:p>
        </w:tc>
        <w:tc>
          <w:tcPr>
            <w:tcW w:w="3340" w:type="dxa"/>
            <w:vAlign w:val="center"/>
          </w:tcPr>
          <w:p w:rsidR="00990D64" w:rsidRPr="00990D64" w:rsidRDefault="00990D64" w:rsidP="003808CC">
            <w:pPr>
              <w:pStyle w:val="ListParagraph"/>
              <w:numPr>
                <w:ilvl w:val="0"/>
                <w:numId w:val="6"/>
              </w:numPr>
              <w:spacing w:before="0" w:after="0" w:line="240" w:lineRule="auto"/>
              <w:ind w:left="284" w:hanging="284"/>
              <w:rPr>
                <w:rFonts w:cs="TimesNewRoman"/>
                <w:sz w:val="22"/>
                <w:szCs w:val="22"/>
              </w:rPr>
            </w:pPr>
            <w:r w:rsidRPr="00990D64">
              <w:rPr>
                <w:rFonts w:cs="TimesNewRoman"/>
                <w:sz w:val="22"/>
                <w:szCs w:val="22"/>
              </w:rPr>
              <w:t>inexistenţa unor sisteme speciale de colectare a deşeurilor organice;</w:t>
            </w:r>
          </w:p>
          <w:p w:rsidR="00594023" w:rsidRPr="000635F2" w:rsidRDefault="00990D64" w:rsidP="003808CC">
            <w:pPr>
              <w:pStyle w:val="ListParagraph"/>
              <w:numPr>
                <w:ilvl w:val="0"/>
                <w:numId w:val="6"/>
              </w:numPr>
              <w:spacing w:before="0" w:after="0" w:line="240" w:lineRule="auto"/>
              <w:ind w:left="284" w:hanging="284"/>
              <w:rPr>
                <w:rFonts w:cs="TimesNewRoman"/>
                <w:sz w:val="22"/>
                <w:szCs w:val="22"/>
              </w:rPr>
            </w:pPr>
            <w:r w:rsidRPr="00990D64">
              <w:rPr>
                <w:rFonts w:cs="TimesNewRoman"/>
                <w:sz w:val="22"/>
                <w:szCs w:val="22"/>
              </w:rPr>
              <w:t>inexistenţa infrastructurii adecvate de preluare a alimentelor neconsumate în scopul valorificării</w:t>
            </w:r>
            <w:r>
              <w:rPr>
                <w:rFonts w:cs="TimesNewRoman"/>
                <w:sz w:val="22"/>
                <w:szCs w:val="22"/>
              </w:rPr>
              <w:t>.</w:t>
            </w:r>
          </w:p>
        </w:tc>
        <w:tc>
          <w:tcPr>
            <w:tcW w:w="3564" w:type="dxa"/>
            <w:vAlign w:val="center"/>
          </w:tcPr>
          <w:p w:rsidR="00594023" w:rsidRPr="000635F2" w:rsidRDefault="008B2288" w:rsidP="008B2288">
            <w:pPr>
              <w:pStyle w:val="ListParagraph"/>
              <w:spacing w:before="0" w:after="0" w:line="240" w:lineRule="auto"/>
              <w:ind w:left="0"/>
              <w:jc w:val="center"/>
              <w:rPr>
                <w:rFonts w:cs="TimesNewRoman"/>
                <w:sz w:val="22"/>
                <w:szCs w:val="22"/>
              </w:rPr>
            </w:pPr>
            <w:r>
              <w:rPr>
                <w:rFonts w:cs="TimesNewRoman"/>
                <w:sz w:val="22"/>
                <w:szCs w:val="22"/>
              </w:rPr>
              <w:t>-</w:t>
            </w:r>
          </w:p>
        </w:tc>
      </w:tr>
      <w:tr w:rsidR="00DA6590" w:rsidRPr="00594023" w:rsidTr="008B2288">
        <w:trPr>
          <w:jc w:val="center"/>
        </w:trPr>
        <w:tc>
          <w:tcPr>
            <w:tcW w:w="2177" w:type="dxa"/>
            <w:vAlign w:val="center"/>
          </w:tcPr>
          <w:p w:rsidR="00990D64" w:rsidRPr="00594023" w:rsidRDefault="00990D64" w:rsidP="00594023">
            <w:pPr>
              <w:pStyle w:val="ListParagraph"/>
              <w:spacing w:before="0" w:after="0" w:line="240" w:lineRule="auto"/>
              <w:ind w:left="0"/>
              <w:jc w:val="center"/>
              <w:rPr>
                <w:rFonts w:cs="TimesNewRoman"/>
                <w:b/>
                <w:sz w:val="22"/>
                <w:szCs w:val="22"/>
              </w:rPr>
            </w:pPr>
            <w:r w:rsidRPr="00594023">
              <w:rPr>
                <w:rFonts w:cs="TimesNewRoman"/>
                <w:b/>
                <w:sz w:val="22"/>
                <w:szCs w:val="22"/>
              </w:rPr>
              <w:t>Etice/ morale</w:t>
            </w:r>
          </w:p>
        </w:tc>
        <w:tc>
          <w:tcPr>
            <w:tcW w:w="3802" w:type="dxa"/>
            <w:vAlign w:val="center"/>
          </w:tcPr>
          <w:p w:rsidR="00990D64" w:rsidRPr="000635F2" w:rsidRDefault="00990D64"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lipsa de interes a</w:t>
            </w:r>
            <w:r w:rsidRPr="000635F2">
              <w:rPr>
                <w:rFonts w:cs="TimesNewRoman"/>
                <w:sz w:val="22"/>
                <w:szCs w:val="22"/>
              </w:rPr>
              <w:t xml:space="preserve"> marilor retaileri, a procesatorilor, a producător</w:t>
            </w:r>
            <w:r w:rsidR="000D6F27">
              <w:rPr>
                <w:rFonts w:cs="TimesNewRoman"/>
                <w:sz w:val="22"/>
                <w:szCs w:val="22"/>
              </w:rPr>
              <w:t>ilor</w:t>
            </w:r>
            <w:r w:rsidRPr="000635F2">
              <w:rPr>
                <w:rFonts w:cs="TimesNewRoman"/>
                <w:sz w:val="22"/>
                <w:szCs w:val="22"/>
              </w:rPr>
              <w:t xml:space="preserve"> de produse alimentare (fie de origine animală, fie de origine non-animală) cu privire la efectele risipei de alimente la nivel economic, social şi asupra mediului</w:t>
            </w:r>
            <w:r>
              <w:rPr>
                <w:rFonts w:cs="TimesNewRoman"/>
                <w:sz w:val="22"/>
                <w:szCs w:val="22"/>
              </w:rPr>
              <w:t>.</w:t>
            </w:r>
          </w:p>
        </w:tc>
        <w:tc>
          <w:tcPr>
            <w:tcW w:w="3773" w:type="dxa"/>
            <w:vAlign w:val="center"/>
          </w:tcPr>
          <w:p w:rsidR="00990D64" w:rsidRPr="000635F2" w:rsidRDefault="00990D64" w:rsidP="003808CC">
            <w:pPr>
              <w:pStyle w:val="ListParagraph"/>
              <w:numPr>
                <w:ilvl w:val="0"/>
                <w:numId w:val="6"/>
              </w:numPr>
              <w:spacing w:before="0" w:after="0" w:line="240" w:lineRule="auto"/>
              <w:ind w:left="284" w:hanging="284"/>
              <w:rPr>
                <w:rFonts w:cs="TimesNewRoman"/>
                <w:sz w:val="22"/>
                <w:szCs w:val="22"/>
              </w:rPr>
            </w:pPr>
            <w:r w:rsidRPr="00503AA3">
              <w:rPr>
                <w:rFonts w:cs="TimesNewRoman"/>
                <w:sz w:val="22"/>
                <w:szCs w:val="22"/>
              </w:rPr>
              <w:t>lipsa de încredere acordată celor care preiau surplusul alimentar (în ce scop sunt folosite mai departe produsele, există siguranţa că nu vor reprezenta un risc pentru populaţie etc.)</w:t>
            </w:r>
            <w:r>
              <w:rPr>
                <w:rFonts w:cs="TimesNewRoman"/>
                <w:sz w:val="22"/>
                <w:szCs w:val="22"/>
              </w:rPr>
              <w:t>.</w:t>
            </w:r>
          </w:p>
        </w:tc>
        <w:tc>
          <w:tcPr>
            <w:tcW w:w="3340" w:type="dxa"/>
            <w:vMerge w:val="restart"/>
            <w:vAlign w:val="center"/>
          </w:tcPr>
          <w:p w:rsidR="00990D64" w:rsidRPr="000635F2" w:rsidRDefault="00990D64" w:rsidP="003808CC">
            <w:pPr>
              <w:pStyle w:val="ListParagraph"/>
              <w:numPr>
                <w:ilvl w:val="0"/>
                <w:numId w:val="6"/>
              </w:numPr>
              <w:spacing w:before="0" w:after="0" w:line="240" w:lineRule="auto"/>
              <w:ind w:left="284" w:hanging="284"/>
              <w:rPr>
                <w:rFonts w:cs="TimesNewRoman"/>
                <w:sz w:val="22"/>
                <w:szCs w:val="22"/>
              </w:rPr>
            </w:pPr>
            <w:r w:rsidRPr="00990D64">
              <w:rPr>
                <w:rFonts w:cs="TimesNewRoman"/>
                <w:sz w:val="22"/>
                <w:szCs w:val="22"/>
              </w:rPr>
              <w:t xml:space="preserve">lipsa de interes/ de informare sau promovare a unor astfel de centre de valorificare a surplusului alimentar, precum </w:t>
            </w:r>
            <w:r>
              <w:rPr>
                <w:rFonts w:cs="TimesNewRoman"/>
                <w:sz w:val="22"/>
                <w:szCs w:val="22"/>
              </w:rPr>
              <w:t>ş</w:t>
            </w:r>
            <w:r w:rsidRPr="00990D64">
              <w:rPr>
                <w:rFonts w:cs="TimesNewRoman"/>
                <w:sz w:val="22"/>
                <w:szCs w:val="22"/>
              </w:rPr>
              <w:t>i accesibilitatea acestora</w:t>
            </w:r>
            <w:r>
              <w:rPr>
                <w:rFonts w:cs="TimesNewRoman"/>
                <w:sz w:val="22"/>
                <w:szCs w:val="22"/>
              </w:rPr>
              <w:t>.</w:t>
            </w:r>
          </w:p>
        </w:tc>
        <w:tc>
          <w:tcPr>
            <w:tcW w:w="3564" w:type="dxa"/>
            <w:vAlign w:val="center"/>
          </w:tcPr>
          <w:p w:rsidR="00990D64" w:rsidRPr="000635F2" w:rsidRDefault="008B2288" w:rsidP="008B2288">
            <w:pPr>
              <w:pStyle w:val="ListParagraph"/>
              <w:spacing w:before="0" w:after="0" w:line="240" w:lineRule="auto"/>
              <w:ind w:left="0"/>
              <w:jc w:val="center"/>
              <w:rPr>
                <w:rFonts w:cs="TimesNewRoman"/>
                <w:sz w:val="22"/>
                <w:szCs w:val="22"/>
              </w:rPr>
            </w:pPr>
            <w:r>
              <w:rPr>
                <w:rFonts w:cs="TimesNewRoman"/>
                <w:sz w:val="22"/>
                <w:szCs w:val="22"/>
              </w:rPr>
              <w:t>-</w:t>
            </w:r>
          </w:p>
        </w:tc>
      </w:tr>
      <w:tr w:rsidR="00DA6590" w:rsidRPr="00594023" w:rsidTr="008B2288">
        <w:trPr>
          <w:jc w:val="center"/>
        </w:trPr>
        <w:tc>
          <w:tcPr>
            <w:tcW w:w="2177" w:type="dxa"/>
            <w:vAlign w:val="center"/>
          </w:tcPr>
          <w:p w:rsidR="00990D64" w:rsidRPr="00594023" w:rsidRDefault="00990D64" w:rsidP="00594023">
            <w:pPr>
              <w:pStyle w:val="ListParagraph"/>
              <w:spacing w:before="0" w:after="0" w:line="240" w:lineRule="auto"/>
              <w:ind w:left="0"/>
              <w:jc w:val="center"/>
              <w:rPr>
                <w:rFonts w:cs="TimesNewRoman"/>
                <w:b/>
                <w:sz w:val="22"/>
                <w:szCs w:val="22"/>
              </w:rPr>
            </w:pPr>
            <w:r w:rsidRPr="00594023">
              <w:rPr>
                <w:rFonts w:cs="TimesNewRoman"/>
                <w:b/>
                <w:sz w:val="22"/>
                <w:szCs w:val="22"/>
              </w:rPr>
              <w:t xml:space="preserve">Privind comunicarea/ </w:t>
            </w:r>
            <w:r w:rsidRPr="00594023">
              <w:rPr>
                <w:rFonts w:cs="TimesNewRoman"/>
                <w:b/>
                <w:sz w:val="22"/>
                <w:szCs w:val="22"/>
              </w:rPr>
              <w:lastRenderedPageBreak/>
              <w:t>diseminarea informaţiilor</w:t>
            </w:r>
          </w:p>
        </w:tc>
        <w:tc>
          <w:tcPr>
            <w:tcW w:w="3802" w:type="dxa"/>
            <w:vAlign w:val="center"/>
          </w:tcPr>
          <w:p w:rsidR="00990D64" w:rsidRPr="000635F2" w:rsidRDefault="00990D64" w:rsidP="003808CC">
            <w:pPr>
              <w:pStyle w:val="ListParagraph"/>
              <w:numPr>
                <w:ilvl w:val="0"/>
                <w:numId w:val="6"/>
              </w:numPr>
              <w:spacing w:before="0" w:after="0" w:line="240" w:lineRule="auto"/>
              <w:ind w:left="284" w:hanging="284"/>
              <w:rPr>
                <w:rFonts w:cs="TimesNewRoman"/>
                <w:sz w:val="22"/>
                <w:szCs w:val="22"/>
              </w:rPr>
            </w:pPr>
            <w:r w:rsidRPr="00D745F1">
              <w:rPr>
                <w:rFonts w:cs="TimesNewRoman"/>
                <w:sz w:val="22"/>
                <w:szCs w:val="22"/>
              </w:rPr>
              <w:lastRenderedPageBreak/>
              <w:t>lipsa comunicărilor media, online</w:t>
            </w:r>
            <w:r>
              <w:rPr>
                <w:rFonts w:cs="TimesNewRoman"/>
                <w:sz w:val="22"/>
                <w:szCs w:val="22"/>
              </w:rPr>
              <w:t xml:space="preserve"> cu privire la subiectul risipei de alimente.</w:t>
            </w:r>
          </w:p>
        </w:tc>
        <w:tc>
          <w:tcPr>
            <w:tcW w:w="3773" w:type="dxa"/>
            <w:vAlign w:val="center"/>
          </w:tcPr>
          <w:p w:rsidR="00990D64" w:rsidRPr="000635F2" w:rsidRDefault="00990D64" w:rsidP="003808CC">
            <w:pPr>
              <w:pStyle w:val="ListParagraph"/>
              <w:numPr>
                <w:ilvl w:val="0"/>
                <w:numId w:val="6"/>
              </w:numPr>
              <w:spacing w:before="0" w:after="0" w:line="240" w:lineRule="auto"/>
              <w:ind w:left="284" w:hanging="284"/>
              <w:rPr>
                <w:rFonts w:cs="TimesNewRoman"/>
                <w:sz w:val="22"/>
                <w:szCs w:val="22"/>
              </w:rPr>
            </w:pPr>
            <w:r w:rsidRPr="00D745F1">
              <w:rPr>
                <w:rFonts w:cs="TimesNewRoman"/>
                <w:sz w:val="22"/>
                <w:szCs w:val="22"/>
              </w:rPr>
              <w:t>lipsa comunicărilor media, online</w:t>
            </w:r>
            <w:r>
              <w:rPr>
                <w:rFonts w:cs="TimesNewRoman"/>
                <w:sz w:val="22"/>
                <w:szCs w:val="22"/>
              </w:rPr>
              <w:t xml:space="preserve"> privind entităţile care</w:t>
            </w:r>
            <w:r w:rsidRPr="00503AA3">
              <w:rPr>
                <w:rFonts w:cs="TimesNewRoman"/>
                <w:sz w:val="22"/>
                <w:szCs w:val="22"/>
              </w:rPr>
              <w:t xml:space="preserve"> achiziţionează/ </w:t>
            </w:r>
            <w:r w:rsidRPr="00503AA3">
              <w:rPr>
                <w:rFonts w:cs="TimesNewRoman"/>
                <w:sz w:val="22"/>
                <w:szCs w:val="22"/>
              </w:rPr>
              <w:lastRenderedPageBreak/>
              <w:t>utilizează/ comercializează</w:t>
            </w:r>
            <w:r>
              <w:rPr>
                <w:rFonts w:cs="TimesNewRoman"/>
                <w:sz w:val="22"/>
                <w:szCs w:val="22"/>
              </w:rPr>
              <w:t xml:space="preserve"> surplusul alimentar.</w:t>
            </w:r>
          </w:p>
        </w:tc>
        <w:tc>
          <w:tcPr>
            <w:tcW w:w="3340" w:type="dxa"/>
            <w:vMerge/>
            <w:vAlign w:val="center"/>
          </w:tcPr>
          <w:p w:rsidR="00990D64" w:rsidRPr="000635F2" w:rsidRDefault="00990D64" w:rsidP="000635F2">
            <w:pPr>
              <w:pStyle w:val="ListParagraph"/>
              <w:spacing w:before="0" w:after="0" w:line="240" w:lineRule="auto"/>
              <w:ind w:left="0"/>
              <w:rPr>
                <w:rFonts w:cs="TimesNewRoman"/>
                <w:sz w:val="22"/>
                <w:szCs w:val="22"/>
              </w:rPr>
            </w:pPr>
          </w:p>
        </w:tc>
        <w:tc>
          <w:tcPr>
            <w:tcW w:w="3564" w:type="dxa"/>
            <w:vAlign w:val="center"/>
          </w:tcPr>
          <w:p w:rsidR="00990D64" w:rsidRPr="000635F2" w:rsidRDefault="00561A83"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 xml:space="preserve">lipsa comunicării între </w:t>
            </w:r>
            <w:r w:rsidR="006048DB">
              <w:rPr>
                <w:rFonts w:cs="TimesNewRoman"/>
                <w:sz w:val="22"/>
                <w:szCs w:val="22"/>
              </w:rPr>
              <w:t xml:space="preserve">principalii stakeholderi </w:t>
            </w:r>
            <w:r w:rsidR="001F515C">
              <w:rPr>
                <w:rFonts w:cs="TimesNewRoman"/>
                <w:sz w:val="22"/>
                <w:szCs w:val="22"/>
              </w:rPr>
              <w:t xml:space="preserve">(producători, </w:t>
            </w:r>
            <w:r w:rsidR="001F515C">
              <w:rPr>
                <w:rFonts w:cs="TimesNewRoman"/>
                <w:sz w:val="22"/>
                <w:szCs w:val="22"/>
              </w:rPr>
              <w:lastRenderedPageBreak/>
              <w:t xml:space="preserve">procesatori, retaileri, ong-uri, </w:t>
            </w:r>
            <w:r w:rsidR="001F515C" w:rsidRPr="008B2288">
              <w:rPr>
                <w:rFonts w:cs="TimesNewRoman"/>
                <w:sz w:val="22"/>
                <w:szCs w:val="22"/>
              </w:rPr>
              <w:t>centre sociale, firme</w:t>
            </w:r>
            <w:r w:rsidR="000D6F27">
              <w:rPr>
                <w:rFonts w:cs="TimesNewRoman"/>
                <w:sz w:val="22"/>
                <w:szCs w:val="22"/>
              </w:rPr>
              <w:t xml:space="preserve"> </w:t>
            </w:r>
            <w:r w:rsidR="001F515C" w:rsidRPr="008B2288">
              <w:rPr>
                <w:rFonts w:cs="TimesNewRoman"/>
                <w:sz w:val="22"/>
                <w:szCs w:val="22"/>
              </w:rPr>
              <w:t>de reciclare etc</w:t>
            </w:r>
            <w:r w:rsidR="001F515C">
              <w:rPr>
                <w:rFonts w:cs="TimesNewRoman"/>
                <w:sz w:val="22"/>
                <w:szCs w:val="22"/>
              </w:rPr>
              <w:t>.</w:t>
            </w:r>
            <w:r w:rsidR="008F2FC0">
              <w:rPr>
                <w:rFonts w:cs="TimesNewRoman"/>
                <w:sz w:val="22"/>
                <w:szCs w:val="22"/>
              </w:rPr>
              <w:t>).</w:t>
            </w:r>
          </w:p>
        </w:tc>
      </w:tr>
      <w:tr w:rsidR="00594023" w:rsidRPr="00594023" w:rsidTr="008E556F">
        <w:trPr>
          <w:jc w:val="center"/>
        </w:trPr>
        <w:tc>
          <w:tcPr>
            <w:tcW w:w="16656" w:type="dxa"/>
            <w:gridSpan w:val="5"/>
            <w:shd w:val="clear" w:color="auto" w:fill="FFC000" w:themeFill="accent4"/>
            <w:vAlign w:val="center"/>
          </w:tcPr>
          <w:p w:rsidR="00594023" w:rsidRPr="00594023" w:rsidRDefault="00594023" w:rsidP="00594023">
            <w:pPr>
              <w:pStyle w:val="ListParagraph"/>
              <w:spacing w:before="0" w:after="0" w:line="240" w:lineRule="auto"/>
              <w:ind w:left="0"/>
              <w:jc w:val="center"/>
              <w:rPr>
                <w:rFonts w:cs="TimesNewRoman"/>
                <w:b/>
                <w:sz w:val="22"/>
                <w:szCs w:val="22"/>
              </w:rPr>
            </w:pPr>
            <w:r>
              <w:rPr>
                <w:rFonts w:cs="TimesNewRoman"/>
                <w:b/>
                <w:sz w:val="22"/>
                <w:szCs w:val="22"/>
              </w:rPr>
              <w:lastRenderedPageBreak/>
              <w:t>Facilităţi</w:t>
            </w:r>
          </w:p>
        </w:tc>
      </w:tr>
      <w:tr w:rsidR="00DA6590" w:rsidRPr="00594023" w:rsidTr="008B2288">
        <w:trPr>
          <w:jc w:val="center"/>
        </w:trPr>
        <w:tc>
          <w:tcPr>
            <w:tcW w:w="2177" w:type="dxa"/>
            <w:vAlign w:val="center"/>
          </w:tcPr>
          <w:p w:rsidR="00594023" w:rsidRPr="00594023" w:rsidRDefault="00594023" w:rsidP="00310AE2">
            <w:pPr>
              <w:pStyle w:val="ListParagraph"/>
              <w:spacing w:before="0" w:after="0" w:line="240" w:lineRule="auto"/>
              <w:ind w:left="0"/>
              <w:jc w:val="center"/>
              <w:rPr>
                <w:rFonts w:cs="TimesNewRoman"/>
                <w:b/>
                <w:sz w:val="22"/>
                <w:szCs w:val="22"/>
              </w:rPr>
            </w:pPr>
            <w:r w:rsidRPr="00594023">
              <w:rPr>
                <w:rFonts w:cs="TimesNewRoman"/>
                <w:b/>
                <w:sz w:val="22"/>
                <w:szCs w:val="22"/>
              </w:rPr>
              <w:t>Legislative</w:t>
            </w:r>
          </w:p>
        </w:tc>
        <w:tc>
          <w:tcPr>
            <w:tcW w:w="3802" w:type="dxa"/>
            <w:vAlign w:val="center"/>
          </w:tcPr>
          <w:p w:rsidR="00557004" w:rsidRDefault="00557004" w:rsidP="003808CC">
            <w:pPr>
              <w:pStyle w:val="ListParagraph"/>
              <w:numPr>
                <w:ilvl w:val="0"/>
                <w:numId w:val="6"/>
              </w:numPr>
              <w:spacing w:before="0" w:after="0" w:line="240" w:lineRule="auto"/>
              <w:ind w:left="284" w:hanging="284"/>
              <w:rPr>
                <w:rFonts w:cs="TimesNewRoman"/>
                <w:sz w:val="22"/>
                <w:szCs w:val="22"/>
              </w:rPr>
            </w:pPr>
            <w:r w:rsidRPr="000635F2">
              <w:rPr>
                <w:rFonts w:cs="TimesNewRoman"/>
                <w:sz w:val="22"/>
                <w:szCs w:val="22"/>
              </w:rPr>
              <w:t>fiscalizarea donaţiilor</w:t>
            </w:r>
            <w:r>
              <w:rPr>
                <w:rFonts w:cs="TimesNewRoman"/>
                <w:sz w:val="22"/>
                <w:szCs w:val="22"/>
              </w:rPr>
              <w:t>;</w:t>
            </w:r>
          </w:p>
          <w:p w:rsidR="00594023" w:rsidRDefault="00A51A4B"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 xml:space="preserve">crearea unor </w:t>
            </w:r>
            <w:r w:rsidR="000635F2" w:rsidRPr="000635F2">
              <w:rPr>
                <w:rFonts w:cs="TimesNewRoman"/>
                <w:sz w:val="22"/>
                <w:szCs w:val="22"/>
              </w:rPr>
              <w:t>norme clare de implementare a legii risipei alimentare</w:t>
            </w:r>
            <w:r>
              <w:rPr>
                <w:rFonts w:cs="TimesNewRoman"/>
                <w:sz w:val="22"/>
                <w:szCs w:val="22"/>
              </w:rPr>
              <w:t>, recent aprobate</w:t>
            </w:r>
            <w:r w:rsidR="006B5553">
              <w:rPr>
                <w:rFonts w:cs="TimesNewRoman"/>
                <w:sz w:val="22"/>
                <w:szCs w:val="22"/>
              </w:rPr>
              <w:t>;</w:t>
            </w:r>
          </w:p>
          <w:p w:rsidR="006B5553" w:rsidRPr="006B5553" w:rsidRDefault="006B5553" w:rsidP="003808CC">
            <w:pPr>
              <w:pStyle w:val="ListParagraph"/>
              <w:numPr>
                <w:ilvl w:val="0"/>
                <w:numId w:val="6"/>
              </w:numPr>
              <w:spacing w:before="0" w:after="0" w:line="240" w:lineRule="auto"/>
              <w:ind w:left="284" w:hanging="284"/>
              <w:rPr>
                <w:rFonts w:cs="TimesNewRoman"/>
                <w:sz w:val="22"/>
                <w:szCs w:val="22"/>
              </w:rPr>
            </w:pPr>
            <w:r w:rsidRPr="006B5553">
              <w:rPr>
                <w:rFonts w:cs="TimesNewRoman"/>
                <w:sz w:val="22"/>
                <w:szCs w:val="22"/>
              </w:rPr>
              <w:t>completarea cadrului legislativ şi armonizarea pachetelor legislative</w:t>
            </w:r>
            <w:r w:rsidR="00A51A4B">
              <w:rPr>
                <w:rFonts w:cs="TimesNewRoman"/>
                <w:sz w:val="22"/>
                <w:szCs w:val="22"/>
              </w:rPr>
              <w:t>.</w:t>
            </w:r>
          </w:p>
        </w:tc>
        <w:tc>
          <w:tcPr>
            <w:tcW w:w="3773" w:type="dxa"/>
            <w:vAlign w:val="center"/>
          </w:tcPr>
          <w:p w:rsidR="00594023" w:rsidRPr="001B7FA5" w:rsidRDefault="00503AA3" w:rsidP="003808CC">
            <w:pPr>
              <w:pStyle w:val="ListParagraph"/>
              <w:numPr>
                <w:ilvl w:val="0"/>
                <w:numId w:val="6"/>
              </w:numPr>
              <w:spacing w:before="0" w:after="0" w:line="240" w:lineRule="auto"/>
              <w:ind w:left="284" w:hanging="284"/>
              <w:rPr>
                <w:rFonts w:cs="TimesNewRoman"/>
                <w:b/>
                <w:sz w:val="22"/>
                <w:szCs w:val="22"/>
              </w:rPr>
            </w:pPr>
            <w:r w:rsidRPr="00503AA3">
              <w:rPr>
                <w:rFonts w:cs="TimesNewRoman"/>
                <w:sz w:val="22"/>
                <w:szCs w:val="22"/>
              </w:rPr>
              <w:t xml:space="preserve">noua lege privind diminuarea risipei alimentare </w:t>
            </w:r>
            <w:r>
              <w:rPr>
                <w:rFonts w:cs="TimesNewRoman"/>
                <w:sz w:val="22"/>
                <w:szCs w:val="22"/>
              </w:rPr>
              <w:t xml:space="preserve">trebuie </w:t>
            </w:r>
            <w:r w:rsidRPr="00503AA3">
              <w:rPr>
                <w:rFonts w:cs="TimesNewRoman"/>
                <w:sz w:val="22"/>
                <w:szCs w:val="22"/>
              </w:rPr>
              <w:t>să se armonizeze cu normele Codului fiscal;</w:t>
            </w:r>
          </w:p>
          <w:p w:rsidR="001B7FA5" w:rsidRPr="00594023" w:rsidRDefault="001B7FA5" w:rsidP="003808CC">
            <w:pPr>
              <w:pStyle w:val="ListParagraph"/>
              <w:numPr>
                <w:ilvl w:val="0"/>
                <w:numId w:val="6"/>
              </w:numPr>
              <w:spacing w:before="0" w:after="0" w:line="240" w:lineRule="auto"/>
              <w:ind w:left="284" w:hanging="284"/>
              <w:rPr>
                <w:rFonts w:cs="TimesNewRoman"/>
                <w:b/>
                <w:sz w:val="22"/>
                <w:szCs w:val="22"/>
              </w:rPr>
            </w:pPr>
            <w:r w:rsidRPr="001B7FA5">
              <w:rPr>
                <w:rFonts w:cs="TimesNewRoman"/>
                <w:sz w:val="22"/>
                <w:szCs w:val="22"/>
              </w:rPr>
              <w:t>deducerea/ recuperarea TVA-ului, prin implementarea unor măsuri fiscale care să susţină donarea</w:t>
            </w:r>
            <w:r>
              <w:rPr>
                <w:rFonts w:cs="TimesNewRoman"/>
                <w:sz w:val="22"/>
                <w:szCs w:val="22"/>
              </w:rPr>
              <w:t>.</w:t>
            </w:r>
          </w:p>
        </w:tc>
        <w:tc>
          <w:tcPr>
            <w:tcW w:w="3340" w:type="dxa"/>
            <w:vAlign w:val="center"/>
          </w:tcPr>
          <w:p w:rsidR="00594023" w:rsidRPr="008D3690" w:rsidRDefault="008D3690" w:rsidP="00594023">
            <w:pPr>
              <w:pStyle w:val="ListParagraph"/>
              <w:spacing w:before="0" w:after="0" w:line="240" w:lineRule="auto"/>
              <w:ind w:left="0"/>
              <w:jc w:val="center"/>
              <w:rPr>
                <w:rFonts w:cs="TimesNewRoman"/>
                <w:sz w:val="22"/>
                <w:szCs w:val="22"/>
              </w:rPr>
            </w:pPr>
            <w:r w:rsidRPr="008D3690">
              <w:rPr>
                <w:rFonts w:cs="TimesNewRoman"/>
                <w:sz w:val="22"/>
                <w:szCs w:val="22"/>
              </w:rPr>
              <w:t>-</w:t>
            </w:r>
          </w:p>
        </w:tc>
        <w:tc>
          <w:tcPr>
            <w:tcW w:w="3564" w:type="dxa"/>
            <w:vAlign w:val="center"/>
          </w:tcPr>
          <w:p w:rsidR="00594023" w:rsidRPr="00410ED7" w:rsidRDefault="008B2288" w:rsidP="003808CC">
            <w:pPr>
              <w:pStyle w:val="ListParagraph"/>
              <w:numPr>
                <w:ilvl w:val="0"/>
                <w:numId w:val="9"/>
              </w:numPr>
              <w:spacing w:before="0" w:after="0" w:line="240" w:lineRule="auto"/>
              <w:ind w:left="284" w:hanging="284"/>
              <w:rPr>
                <w:rFonts w:cs="TimesNewRoman"/>
                <w:b/>
                <w:sz w:val="22"/>
                <w:szCs w:val="22"/>
              </w:rPr>
            </w:pPr>
            <w:r w:rsidRPr="008B2288">
              <w:rPr>
                <w:rFonts w:cs="TimesNewRoman"/>
                <w:sz w:val="22"/>
                <w:szCs w:val="22"/>
              </w:rPr>
              <w:t>legea risipei alimentare care obligă companiile să încheie un contract de sponsorizare cu o organizaţie non-profit ar ajuta enorm în crearea de noi oportunităţi pentru diminuarea risipei şi</w:t>
            </w:r>
            <w:r w:rsidR="00561A83">
              <w:rPr>
                <w:rFonts w:cs="TimesNewRoman"/>
                <w:sz w:val="22"/>
                <w:szCs w:val="22"/>
              </w:rPr>
              <w:t>,</w:t>
            </w:r>
            <w:r w:rsidRPr="008B2288">
              <w:rPr>
                <w:rFonts w:cs="TimesNewRoman"/>
                <w:sz w:val="22"/>
                <w:szCs w:val="22"/>
              </w:rPr>
              <w:t xml:space="preserve"> implicit, în distribuirea alimentelor către persoanele ce au nevoie de ele</w:t>
            </w:r>
            <w:r w:rsidR="00410ED7">
              <w:rPr>
                <w:rFonts w:cs="TimesNewRoman"/>
                <w:sz w:val="22"/>
                <w:szCs w:val="22"/>
              </w:rPr>
              <w:t>;</w:t>
            </w:r>
          </w:p>
          <w:p w:rsidR="00410ED7" w:rsidRPr="00594023" w:rsidRDefault="00410ED7" w:rsidP="003808CC">
            <w:pPr>
              <w:pStyle w:val="ListParagraph"/>
              <w:numPr>
                <w:ilvl w:val="0"/>
                <w:numId w:val="9"/>
              </w:numPr>
              <w:spacing w:before="0" w:after="0" w:line="240" w:lineRule="auto"/>
              <w:ind w:left="284" w:hanging="284"/>
              <w:rPr>
                <w:rFonts w:cs="TimesNewRoman"/>
                <w:b/>
                <w:sz w:val="22"/>
                <w:szCs w:val="22"/>
              </w:rPr>
            </w:pPr>
            <w:r>
              <w:rPr>
                <w:rFonts w:cs="TimesNewRoman"/>
                <w:sz w:val="22"/>
                <w:szCs w:val="22"/>
              </w:rPr>
              <w:t>aplicarea normelor de implementare ale legii privind risipa alimentară.</w:t>
            </w:r>
          </w:p>
        </w:tc>
      </w:tr>
      <w:tr w:rsidR="00DA6590" w:rsidRPr="00594023" w:rsidTr="008B2288">
        <w:trPr>
          <w:jc w:val="center"/>
        </w:trPr>
        <w:tc>
          <w:tcPr>
            <w:tcW w:w="2177" w:type="dxa"/>
            <w:vAlign w:val="center"/>
          </w:tcPr>
          <w:p w:rsidR="00594023" w:rsidRPr="00594023" w:rsidRDefault="00594023" w:rsidP="00310AE2">
            <w:pPr>
              <w:pStyle w:val="ListParagraph"/>
              <w:spacing w:before="0" w:after="0" w:line="240" w:lineRule="auto"/>
              <w:ind w:left="0"/>
              <w:jc w:val="center"/>
              <w:rPr>
                <w:rFonts w:cs="TimesNewRoman"/>
                <w:b/>
                <w:sz w:val="22"/>
                <w:szCs w:val="22"/>
              </w:rPr>
            </w:pPr>
            <w:r w:rsidRPr="00594023">
              <w:rPr>
                <w:rFonts w:cs="TimesNewRoman"/>
                <w:b/>
                <w:sz w:val="22"/>
                <w:szCs w:val="22"/>
              </w:rPr>
              <w:t>Logistice/ Administrative</w:t>
            </w:r>
          </w:p>
        </w:tc>
        <w:tc>
          <w:tcPr>
            <w:tcW w:w="3802" w:type="dxa"/>
            <w:vAlign w:val="center"/>
          </w:tcPr>
          <w:p w:rsidR="00594023" w:rsidRDefault="000635F2" w:rsidP="003808CC">
            <w:pPr>
              <w:pStyle w:val="ListParagraph"/>
              <w:numPr>
                <w:ilvl w:val="0"/>
                <w:numId w:val="6"/>
              </w:numPr>
              <w:spacing w:before="0" w:after="0" w:line="240" w:lineRule="auto"/>
              <w:ind w:left="284" w:hanging="284"/>
              <w:rPr>
                <w:rFonts w:cs="TimesNewRoman"/>
                <w:sz w:val="22"/>
                <w:szCs w:val="22"/>
              </w:rPr>
            </w:pPr>
            <w:r w:rsidRPr="000635F2">
              <w:rPr>
                <w:rFonts w:cs="TimesNewRoman"/>
                <w:sz w:val="22"/>
                <w:szCs w:val="22"/>
              </w:rPr>
              <w:t>crearea de reţele active de distribuţie</w:t>
            </w:r>
            <w:r w:rsidR="00A51A4B">
              <w:rPr>
                <w:rFonts w:cs="TimesNewRoman"/>
                <w:sz w:val="22"/>
                <w:szCs w:val="22"/>
              </w:rPr>
              <w:t xml:space="preserve"> a surplusului de alimente, prin:</w:t>
            </w:r>
          </w:p>
          <w:p w:rsidR="000635F2" w:rsidRPr="000635F2" w:rsidRDefault="000635F2" w:rsidP="003808CC">
            <w:pPr>
              <w:pStyle w:val="ListParagraph"/>
              <w:numPr>
                <w:ilvl w:val="0"/>
                <w:numId w:val="7"/>
              </w:numPr>
              <w:spacing w:before="0" w:after="0" w:line="240" w:lineRule="auto"/>
              <w:rPr>
                <w:rFonts w:cs="TimesNewRoman"/>
                <w:sz w:val="22"/>
                <w:szCs w:val="22"/>
              </w:rPr>
            </w:pPr>
            <w:r w:rsidRPr="000635F2">
              <w:rPr>
                <w:rFonts w:cs="TimesNewRoman"/>
                <w:sz w:val="22"/>
                <w:szCs w:val="22"/>
              </w:rPr>
              <w:t>existenţa unui program de colectare, transport, livrare cu menţinerea condiţiilor de frig care să nu pună în pericol consumatorul;</w:t>
            </w:r>
          </w:p>
          <w:p w:rsidR="000635F2" w:rsidRPr="000635F2" w:rsidRDefault="000635F2" w:rsidP="003808CC">
            <w:pPr>
              <w:pStyle w:val="ListParagraph"/>
              <w:numPr>
                <w:ilvl w:val="0"/>
                <w:numId w:val="7"/>
              </w:numPr>
              <w:spacing w:before="0" w:after="0" w:line="240" w:lineRule="auto"/>
              <w:rPr>
                <w:rFonts w:cs="TimesNewRoman"/>
                <w:sz w:val="22"/>
                <w:szCs w:val="22"/>
              </w:rPr>
            </w:pPr>
            <w:r w:rsidRPr="000635F2">
              <w:rPr>
                <w:rFonts w:cs="TimesNewRoman"/>
                <w:sz w:val="22"/>
                <w:szCs w:val="22"/>
              </w:rPr>
              <w:t>existenţa unor condiţii de depozitare adecvate;</w:t>
            </w:r>
          </w:p>
          <w:p w:rsidR="000635F2" w:rsidRPr="00594023" w:rsidRDefault="000635F2" w:rsidP="003808CC">
            <w:pPr>
              <w:pStyle w:val="ListParagraph"/>
              <w:numPr>
                <w:ilvl w:val="0"/>
                <w:numId w:val="7"/>
              </w:numPr>
              <w:spacing w:before="0" w:after="0" w:line="240" w:lineRule="auto"/>
              <w:rPr>
                <w:rFonts w:cs="TimesNewRoman"/>
                <w:b/>
                <w:sz w:val="22"/>
                <w:szCs w:val="22"/>
              </w:rPr>
            </w:pPr>
            <w:r w:rsidRPr="000635F2">
              <w:rPr>
                <w:rFonts w:cs="TimesNewRoman"/>
                <w:sz w:val="22"/>
                <w:szCs w:val="22"/>
              </w:rPr>
              <w:t>pentru livrare: comunicare media a punctelor de livrare</w:t>
            </w:r>
            <w:r w:rsidR="00A51A4B">
              <w:rPr>
                <w:rFonts w:cs="TimesNewRoman"/>
                <w:sz w:val="22"/>
                <w:szCs w:val="22"/>
              </w:rPr>
              <w:t>.</w:t>
            </w:r>
          </w:p>
        </w:tc>
        <w:tc>
          <w:tcPr>
            <w:tcW w:w="3773" w:type="dxa"/>
            <w:vAlign w:val="center"/>
          </w:tcPr>
          <w:p w:rsidR="00594023" w:rsidRPr="00594023" w:rsidRDefault="00503AA3" w:rsidP="003808CC">
            <w:pPr>
              <w:pStyle w:val="ListParagraph"/>
              <w:numPr>
                <w:ilvl w:val="0"/>
                <w:numId w:val="8"/>
              </w:numPr>
              <w:spacing w:before="0" w:after="0" w:line="240" w:lineRule="auto"/>
              <w:ind w:left="284" w:hanging="284"/>
              <w:rPr>
                <w:rFonts w:cs="TimesNewRoman"/>
                <w:b/>
                <w:sz w:val="22"/>
                <w:szCs w:val="22"/>
              </w:rPr>
            </w:pPr>
            <w:r w:rsidRPr="00503AA3">
              <w:rPr>
                <w:rFonts w:cs="TimesNewRoman"/>
                <w:sz w:val="22"/>
                <w:szCs w:val="22"/>
              </w:rPr>
              <w:t>dezvoltarea unui ghid de bune practici întocmit de autorităţi care să permită desfăşurarea activităţilor în parametrii transparenţi şi care să conducă la uniformizarea practicilor din teren</w:t>
            </w:r>
            <w:r w:rsidR="001B7FA5">
              <w:rPr>
                <w:rFonts w:cs="TimesNewRoman"/>
                <w:sz w:val="22"/>
                <w:szCs w:val="22"/>
              </w:rPr>
              <w:t>.</w:t>
            </w:r>
          </w:p>
        </w:tc>
        <w:tc>
          <w:tcPr>
            <w:tcW w:w="3340" w:type="dxa"/>
            <w:vAlign w:val="center"/>
          </w:tcPr>
          <w:p w:rsidR="00DA6590" w:rsidRPr="00DA6590" w:rsidRDefault="00DA6590" w:rsidP="003808CC">
            <w:pPr>
              <w:pStyle w:val="ListParagraph"/>
              <w:numPr>
                <w:ilvl w:val="0"/>
                <w:numId w:val="6"/>
              </w:numPr>
              <w:spacing w:before="0" w:after="0" w:line="240" w:lineRule="auto"/>
              <w:ind w:left="284" w:hanging="284"/>
              <w:rPr>
                <w:rFonts w:cs="TimesNewRoman"/>
                <w:sz w:val="22"/>
                <w:szCs w:val="22"/>
              </w:rPr>
            </w:pPr>
            <w:r>
              <w:rPr>
                <w:rFonts w:cs="TimesNewRoman"/>
                <w:sz w:val="22"/>
                <w:szCs w:val="22"/>
              </w:rPr>
              <w:t xml:space="preserve">existenţa unor </w:t>
            </w:r>
            <w:r w:rsidRPr="00DA6590">
              <w:rPr>
                <w:rFonts w:cs="TimesNewRoman"/>
                <w:sz w:val="22"/>
                <w:szCs w:val="22"/>
              </w:rPr>
              <w:t>containere sau unit</w:t>
            </w:r>
            <w:r>
              <w:rPr>
                <w:rFonts w:cs="TimesNewRoman"/>
                <w:sz w:val="22"/>
                <w:szCs w:val="22"/>
              </w:rPr>
              <w:t>ăţ</w:t>
            </w:r>
            <w:r w:rsidRPr="00DA6590">
              <w:rPr>
                <w:rFonts w:cs="TimesNewRoman"/>
                <w:sz w:val="22"/>
                <w:szCs w:val="22"/>
              </w:rPr>
              <w:t xml:space="preserve">i special amplasate </w:t>
            </w:r>
            <w:r>
              <w:rPr>
                <w:rFonts w:cs="TimesNewRoman"/>
                <w:sz w:val="22"/>
                <w:szCs w:val="22"/>
              </w:rPr>
              <w:t>î</w:t>
            </w:r>
            <w:r w:rsidRPr="00DA6590">
              <w:rPr>
                <w:rFonts w:cs="TimesNewRoman"/>
                <w:sz w:val="22"/>
                <w:szCs w:val="22"/>
              </w:rPr>
              <w:t>n vederea depunerii de</w:t>
            </w:r>
            <w:r>
              <w:rPr>
                <w:rFonts w:cs="TimesNewRoman"/>
                <w:sz w:val="22"/>
                <w:szCs w:val="22"/>
              </w:rPr>
              <w:t>ş</w:t>
            </w:r>
            <w:r w:rsidRPr="00DA6590">
              <w:rPr>
                <w:rFonts w:cs="TimesNewRoman"/>
                <w:sz w:val="22"/>
                <w:szCs w:val="22"/>
              </w:rPr>
              <w:t>eurilor organice</w:t>
            </w:r>
            <w:r>
              <w:rPr>
                <w:rFonts w:cs="TimesNewRoman"/>
                <w:sz w:val="22"/>
                <w:szCs w:val="22"/>
              </w:rPr>
              <w:t>;</w:t>
            </w:r>
          </w:p>
          <w:p w:rsidR="00594023" w:rsidRPr="00850979" w:rsidRDefault="00DA6590" w:rsidP="003808CC">
            <w:pPr>
              <w:pStyle w:val="ListParagraph"/>
              <w:numPr>
                <w:ilvl w:val="0"/>
                <w:numId w:val="6"/>
              </w:numPr>
              <w:spacing w:before="0" w:after="0" w:line="240" w:lineRule="auto"/>
              <w:ind w:left="284" w:hanging="284"/>
              <w:rPr>
                <w:rFonts w:cs="TimesNewRoman"/>
                <w:b/>
                <w:sz w:val="22"/>
                <w:szCs w:val="22"/>
              </w:rPr>
            </w:pPr>
            <w:r>
              <w:rPr>
                <w:rFonts w:cs="TimesNewRoman"/>
                <w:sz w:val="22"/>
                <w:szCs w:val="22"/>
              </w:rPr>
              <w:t xml:space="preserve">existenţa unor </w:t>
            </w:r>
            <w:r w:rsidRPr="00DA6590">
              <w:rPr>
                <w:rFonts w:cs="TimesNewRoman"/>
                <w:sz w:val="22"/>
                <w:szCs w:val="22"/>
              </w:rPr>
              <w:t xml:space="preserve">centre de colectare situate </w:t>
            </w:r>
            <w:r>
              <w:rPr>
                <w:rFonts w:cs="TimesNewRoman"/>
                <w:sz w:val="22"/>
                <w:szCs w:val="22"/>
              </w:rPr>
              <w:t>î</w:t>
            </w:r>
            <w:r w:rsidRPr="00DA6590">
              <w:rPr>
                <w:rFonts w:cs="TimesNewRoman"/>
                <w:sz w:val="22"/>
                <w:szCs w:val="22"/>
              </w:rPr>
              <w:t xml:space="preserve">n incinta galeriilor comerciale sau </w:t>
            </w:r>
            <w:r>
              <w:rPr>
                <w:rFonts w:cs="TimesNewRoman"/>
                <w:sz w:val="22"/>
                <w:szCs w:val="22"/>
              </w:rPr>
              <w:t>î</w:t>
            </w:r>
            <w:r w:rsidRPr="00DA6590">
              <w:rPr>
                <w:rFonts w:cs="TimesNewRoman"/>
                <w:sz w:val="22"/>
                <w:szCs w:val="22"/>
              </w:rPr>
              <w:t>n proximitatea locuin</w:t>
            </w:r>
            <w:r>
              <w:rPr>
                <w:rFonts w:cs="TimesNewRoman"/>
                <w:sz w:val="22"/>
                <w:szCs w:val="22"/>
              </w:rPr>
              <w:t>ţ</w:t>
            </w:r>
            <w:r w:rsidRPr="00DA6590">
              <w:rPr>
                <w:rFonts w:cs="TimesNewRoman"/>
                <w:sz w:val="22"/>
                <w:szCs w:val="22"/>
              </w:rPr>
              <w:t>elor;</w:t>
            </w:r>
          </w:p>
          <w:p w:rsidR="00850979" w:rsidRPr="00594023" w:rsidRDefault="00850979" w:rsidP="003808CC">
            <w:pPr>
              <w:pStyle w:val="ListParagraph"/>
              <w:numPr>
                <w:ilvl w:val="0"/>
                <w:numId w:val="6"/>
              </w:numPr>
              <w:spacing w:before="0" w:after="0" w:line="240" w:lineRule="auto"/>
              <w:ind w:left="284" w:hanging="284"/>
              <w:rPr>
                <w:rFonts w:cs="TimesNewRoman"/>
                <w:b/>
                <w:sz w:val="22"/>
                <w:szCs w:val="22"/>
              </w:rPr>
            </w:pPr>
            <w:r>
              <w:rPr>
                <w:rFonts w:cs="TimesNewRoman"/>
                <w:sz w:val="22"/>
                <w:szCs w:val="22"/>
              </w:rPr>
              <w:t>existenţa unui</w:t>
            </w:r>
            <w:r w:rsidRPr="00850979">
              <w:rPr>
                <w:rFonts w:cs="TimesNewRoman"/>
                <w:sz w:val="22"/>
                <w:szCs w:val="22"/>
              </w:rPr>
              <w:t xml:space="preserve"> sistem na</w:t>
            </w:r>
            <w:r>
              <w:rPr>
                <w:rFonts w:cs="TimesNewRoman"/>
                <w:sz w:val="22"/>
                <w:szCs w:val="22"/>
              </w:rPr>
              <w:t>ţ</w:t>
            </w:r>
            <w:r w:rsidRPr="00850979">
              <w:rPr>
                <w:rFonts w:cs="TimesNewRoman"/>
                <w:sz w:val="22"/>
                <w:szCs w:val="22"/>
              </w:rPr>
              <w:t>ional dezvoltat</w:t>
            </w:r>
            <w:r>
              <w:rPr>
                <w:rFonts w:cs="TimesNewRoman"/>
                <w:sz w:val="22"/>
                <w:szCs w:val="22"/>
              </w:rPr>
              <w:t>, pornind</w:t>
            </w:r>
            <w:r w:rsidRPr="00850979">
              <w:rPr>
                <w:rFonts w:cs="TimesNewRoman"/>
                <w:sz w:val="22"/>
                <w:szCs w:val="22"/>
              </w:rPr>
              <w:t xml:space="preserve"> de la legisla</w:t>
            </w:r>
            <w:r>
              <w:rPr>
                <w:rFonts w:cs="TimesNewRoman"/>
                <w:sz w:val="22"/>
                <w:szCs w:val="22"/>
              </w:rPr>
              <w:t>ţ</w:t>
            </w:r>
            <w:r w:rsidRPr="00850979">
              <w:rPr>
                <w:rFonts w:cs="TimesNewRoman"/>
                <w:sz w:val="22"/>
                <w:szCs w:val="22"/>
              </w:rPr>
              <w:t>ie, la unită</w:t>
            </w:r>
            <w:r>
              <w:rPr>
                <w:rFonts w:cs="TimesNewRoman"/>
                <w:sz w:val="22"/>
                <w:szCs w:val="22"/>
              </w:rPr>
              <w:t>ţ</w:t>
            </w:r>
            <w:r w:rsidRPr="00850979">
              <w:rPr>
                <w:rFonts w:cs="TimesNewRoman"/>
                <w:sz w:val="22"/>
                <w:szCs w:val="22"/>
              </w:rPr>
              <w:t>i</w:t>
            </w:r>
            <w:r>
              <w:rPr>
                <w:rFonts w:cs="TimesNewRoman"/>
                <w:sz w:val="22"/>
                <w:szCs w:val="22"/>
              </w:rPr>
              <w:t>le</w:t>
            </w:r>
            <w:r w:rsidRPr="00850979">
              <w:rPr>
                <w:rFonts w:cs="TimesNewRoman"/>
                <w:sz w:val="22"/>
                <w:szCs w:val="22"/>
              </w:rPr>
              <w:t xml:space="preserve"> de colectare</w:t>
            </w:r>
            <w:r>
              <w:rPr>
                <w:rFonts w:cs="TimesNewRoman"/>
                <w:sz w:val="22"/>
                <w:szCs w:val="22"/>
              </w:rPr>
              <w:t>/ preluare (cu</w:t>
            </w:r>
            <w:r w:rsidRPr="00850979">
              <w:rPr>
                <w:rFonts w:cs="TimesNewRoman"/>
                <w:sz w:val="22"/>
                <w:szCs w:val="22"/>
              </w:rPr>
              <w:t xml:space="preserve"> posibilitatea colectării direct de la asocia</w:t>
            </w:r>
            <w:r>
              <w:rPr>
                <w:rFonts w:cs="TimesNewRoman"/>
                <w:sz w:val="22"/>
                <w:szCs w:val="22"/>
              </w:rPr>
              <w:t>ţ</w:t>
            </w:r>
            <w:r w:rsidRPr="00850979">
              <w:rPr>
                <w:rFonts w:cs="TimesNewRoman"/>
                <w:sz w:val="22"/>
                <w:szCs w:val="22"/>
              </w:rPr>
              <w:t>iile de proprietari</w:t>
            </w:r>
            <w:r>
              <w:rPr>
                <w:rFonts w:cs="TimesNewRoman"/>
                <w:sz w:val="22"/>
                <w:szCs w:val="22"/>
              </w:rPr>
              <w:t xml:space="preserve"> etc.).</w:t>
            </w:r>
          </w:p>
        </w:tc>
        <w:tc>
          <w:tcPr>
            <w:tcW w:w="3564" w:type="dxa"/>
            <w:vAlign w:val="center"/>
          </w:tcPr>
          <w:p w:rsidR="00594023" w:rsidRPr="008B2288" w:rsidRDefault="008B2288" w:rsidP="00594023">
            <w:pPr>
              <w:pStyle w:val="ListParagraph"/>
              <w:spacing w:before="0" w:after="0" w:line="240" w:lineRule="auto"/>
              <w:ind w:left="0"/>
              <w:jc w:val="center"/>
              <w:rPr>
                <w:rFonts w:cs="TimesNewRoman"/>
                <w:sz w:val="22"/>
                <w:szCs w:val="22"/>
              </w:rPr>
            </w:pPr>
            <w:r w:rsidRPr="008B2288">
              <w:rPr>
                <w:rFonts w:cs="TimesNewRoman"/>
                <w:sz w:val="22"/>
                <w:szCs w:val="22"/>
              </w:rPr>
              <w:t>-</w:t>
            </w:r>
          </w:p>
        </w:tc>
      </w:tr>
      <w:tr w:rsidR="008B2288" w:rsidRPr="00594023" w:rsidTr="008B2288">
        <w:trPr>
          <w:jc w:val="center"/>
        </w:trPr>
        <w:tc>
          <w:tcPr>
            <w:tcW w:w="2177" w:type="dxa"/>
            <w:vAlign w:val="center"/>
          </w:tcPr>
          <w:p w:rsidR="008D3690" w:rsidRPr="00594023" w:rsidRDefault="008D3690" w:rsidP="00310AE2">
            <w:pPr>
              <w:pStyle w:val="ListParagraph"/>
              <w:spacing w:before="0" w:after="0" w:line="240" w:lineRule="auto"/>
              <w:ind w:left="0"/>
              <w:jc w:val="center"/>
              <w:rPr>
                <w:rFonts w:cs="TimesNewRoman"/>
                <w:b/>
                <w:sz w:val="22"/>
                <w:szCs w:val="22"/>
              </w:rPr>
            </w:pPr>
            <w:r w:rsidRPr="00594023">
              <w:rPr>
                <w:rFonts w:cs="TimesNewRoman"/>
                <w:b/>
                <w:sz w:val="22"/>
                <w:szCs w:val="22"/>
              </w:rPr>
              <w:t>Etice/ morale</w:t>
            </w:r>
          </w:p>
        </w:tc>
        <w:tc>
          <w:tcPr>
            <w:tcW w:w="3802" w:type="dxa"/>
            <w:vAlign w:val="center"/>
          </w:tcPr>
          <w:p w:rsidR="008D3690" w:rsidRPr="00594023" w:rsidRDefault="008D3690" w:rsidP="003808CC">
            <w:pPr>
              <w:pStyle w:val="ListParagraph"/>
              <w:numPr>
                <w:ilvl w:val="0"/>
                <w:numId w:val="6"/>
              </w:numPr>
              <w:spacing w:before="0" w:after="0" w:line="240" w:lineRule="auto"/>
              <w:ind w:left="284" w:hanging="284"/>
              <w:rPr>
                <w:rFonts w:cs="TimesNewRoman"/>
                <w:b/>
                <w:sz w:val="22"/>
                <w:szCs w:val="22"/>
              </w:rPr>
            </w:pPr>
            <w:r w:rsidRPr="000635F2">
              <w:rPr>
                <w:rFonts w:cs="TimesNewRoman"/>
                <w:sz w:val="22"/>
                <w:szCs w:val="22"/>
              </w:rPr>
              <w:t>conştientizarea marilor retaileri, a procesatorilor, a producător</w:t>
            </w:r>
            <w:r w:rsidR="000D6F27">
              <w:rPr>
                <w:rFonts w:cs="TimesNewRoman"/>
                <w:sz w:val="22"/>
                <w:szCs w:val="22"/>
              </w:rPr>
              <w:t>ilor</w:t>
            </w:r>
            <w:r w:rsidRPr="000635F2">
              <w:rPr>
                <w:rFonts w:cs="TimesNewRoman"/>
                <w:sz w:val="22"/>
                <w:szCs w:val="22"/>
              </w:rPr>
              <w:t xml:space="preserve"> de produse alimentare (fie de origine animală, fie de origine non-animală) cu </w:t>
            </w:r>
            <w:r w:rsidRPr="000635F2">
              <w:rPr>
                <w:rFonts w:cs="TimesNewRoman"/>
                <w:sz w:val="22"/>
                <w:szCs w:val="22"/>
              </w:rPr>
              <w:lastRenderedPageBreak/>
              <w:t>privire la efectele risipei de alimente la nivel economic, social şi asupra mediului</w:t>
            </w:r>
            <w:r>
              <w:rPr>
                <w:rFonts w:cs="TimesNewRoman"/>
                <w:sz w:val="22"/>
                <w:szCs w:val="22"/>
              </w:rPr>
              <w:t>.</w:t>
            </w:r>
          </w:p>
        </w:tc>
        <w:tc>
          <w:tcPr>
            <w:tcW w:w="3773" w:type="dxa"/>
            <w:vAlign w:val="center"/>
          </w:tcPr>
          <w:p w:rsidR="008D3690" w:rsidRPr="001B7FA5" w:rsidRDefault="008D3690" w:rsidP="003808CC">
            <w:pPr>
              <w:pStyle w:val="ListParagraph"/>
              <w:numPr>
                <w:ilvl w:val="0"/>
                <w:numId w:val="8"/>
              </w:numPr>
              <w:spacing w:before="0" w:after="0" w:line="240" w:lineRule="auto"/>
              <w:ind w:left="284" w:hanging="284"/>
              <w:rPr>
                <w:rFonts w:cs="TimesNewRoman"/>
                <w:sz w:val="22"/>
                <w:szCs w:val="22"/>
              </w:rPr>
            </w:pPr>
            <w:r>
              <w:rPr>
                <w:rFonts w:cs="TimesNewRoman"/>
                <w:sz w:val="22"/>
                <w:szCs w:val="22"/>
              </w:rPr>
              <w:lastRenderedPageBreak/>
              <w:t>creşterea nivelului de încredere acordat celor care preiau</w:t>
            </w:r>
            <w:r w:rsidRPr="00503AA3">
              <w:rPr>
                <w:rFonts w:cs="TimesNewRoman"/>
                <w:sz w:val="22"/>
                <w:szCs w:val="22"/>
              </w:rPr>
              <w:t xml:space="preserve"> surplusul alimentar</w:t>
            </w:r>
            <w:r>
              <w:rPr>
                <w:rFonts w:cs="TimesNewRoman"/>
                <w:sz w:val="22"/>
                <w:szCs w:val="22"/>
              </w:rPr>
              <w:t xml:space="preserve">, prin metode de </w:t>
            </w:r>
            <w:r w:rsidRPr="00D26A3C">
              <w:rPr>
                <w:rFonts w:cs="TimesNewRoman"/>
                <w:sz w:val="22"/>
                <w:szCs w:val="22"/>
              </w:rPr>
              <w:t>comunicare/ diseminare</w:t>
            </w:r>
            <w:r>
              <w:rPr>
                <w:rFonts w:cs="TimesNewRoman"/>
                <w:sz w:val="22"/>
                <w:szCs w:val="22"/>
              </w:rPr>
              <w:t xml:space="preserve"> </w:t>
            </w:r>
            <w:r w:rsidRPr="00D26A3C">
              <w:rPr>
                <w:rFonts w:cs="TimesNewRoman"/>
                <w:sz w:val="22"/>
                <w:szCs w:val="22"/>
              </w:rPr>
              <w:t xml:space="preserve">a </w:t>
            </w:r>
            <w:r w:rsidRPr="00D26A3C">
              <w:rPr>
                <w:rFonts w:cs="TimesNewRoman"/>
                <w:sz w:val="22"/>
                <w:szCs w:val="22"/>
              </w:rPr>
              <w:lastRenderedPageBreak/>
              <w:t>informaţiilor</w:t>
            </w:r>
            <w:r>
              <w:rPr>
                <w:rFonts w:cs="TimesNewRoman"/>
                <w:sz w:val="22"/>
                <w:szCs w:val="22"/>
              </w:rPr>
              <w:t xml:space="preserve"> cu privire la activitatea acestora.</w:t>
            </w:r>
          </w:p>
        </w:tc>
        <w:tc>
          <w:tcPr>
            <w:tcW w:w="3340" w:type="dxa"/>
            <w:vMerge w:val="restart"/>
            <w:vAlign w:val="center"/>
          </w:tcPr>
          <w:p w:rsidR="008D3690" w:rsidRPr="00DA6590" w:rsidRDefault="00DA6590" w:rsidP="003808CC">
            <w:pPr>
              <w:pStyle w:val="ListParagraph"/>
              <w:numPr>
                <w:ilvl w:val="0"/>
                <w:numId w:val="8"/>
              </w:numPr>
              <w:spacing w:before="0" w:after="0" w:line="240" w:lineRule="auto"/>
              <w:ind w:left="284" w:hanging="284"/>
              <w:rPr>
                <w:rFonts w:cs="TimesNewRoman"/>
                <w:b/>
                <w:sz w:val="22"/>
                <w:szCs w:val="22"/>
              </w:rPr>
            </w:pPr>
            <w:r>
              <w:rPr>
                <w:rFonts w:cs="TimesNewRoman"/>
                <w:sz w:val="22"/>
                <w:szCs w:val="22"/>
              </w:rPr>
              <w:lastRenderedPageBreak/>
              <w:t>comunicări</w:t>
            </w:r>
            <w:r w:rsidRPr="00D745F1">
              <w:rPr>
                <w:rFonts w:cs="TimesNewRoman"/>
                <w:sz w:val="22"/>
                <w:szCs w:val="22"/>
              </w:rPr>
              <w:t xml:space="preserve"> media, online</w:t>
            </w:r>
            <w:r>
              <w:rPr>
                <w:rFonts w:cs="TimesNewRoman"/>
                <w:sz w:val="22"/>
                <w:szCs w:val="22"/>
              </w:rPr>
              <w:t xml:space="preserve"> cu privire la unităţile care preiau surplusul de alimente (localizare, categorie – ulei uzat etc.);</w:t>
            </w:r>
          </w:p>
          <w:p w:rsidR="00DA6590" w:rsidRPr="00DA6590" w:rsidRDefault="00DA6590" w:rsidP="003808CC">
            <w:pPr>
              <w:pStyle w:val="ListParagraph"/>
              <w:numPr>
                <w:ilvl w:val="0"/>
                <w:numId w:val="8"/>
              </w:numPr>
              <w:spacing w:before="0" w:after="0" w:line="240" w:lineRule="auto"/>
              <w:ind w:left="284" w:hanging="284"/>
              <w:rPr>
                <w:rFonts w:cs="TimesNewRoman"/>
                <w:b/>
                <w:sz w:val="22"/>
                <w:szCs w:val="22"/>
              </w:rPr>
            </w:pPr>
            <w:r>
              <w:rPr>
                <w:rFonts w:cs="TimesNewRoman"/>
                <w:sz w:val="22"/>
                <w:szCs w:val="22"/>
              </w:rPr>
              <w:lastRenderedPageBreak/>
              <w:t xml:space="preserve">conceperea unor „hărţi” </w:t>
            </w:r>
            <w:r w:rsidRPr="00DA6590">
              <w:rPr>
                <w:rFonts w:cs="TimesNewRoman"/>
                <w:sz w:val="22"/>
                <w:szCs w:val="22"/>
              </w:rPr>
              <w:t>cu unit</w:t>
            </w:r>
            <w:r>
              <w:rPr>
                <w:rFonts w:cs="TimesNewRoman"/>
                <w:sz w:val="22"/>
                <w:szCs w:val="22"/>
              </w:rPr>
              <w:t>ăţ</w:t>
            </w:r>
            <w:r w:rsidRPr="00DA6590">
              <w:rPr>
                <w:rFonts w:cs="TimesNewRoman"/>
                <w:sz w:val="22"/>
                <w:szCs w:val="22"/>
              </w:rPr>
              <w:t>ile care preiau produse</w:t>
            </w:r>
            <w:r>
              <w:rPr>
                <w:rFonts w:cs="TimesNewRoman"/>
                <w:sz w:val="22"/>
                <w:szCs w:val="22"/>
              </w:rPr>
              <w:t>,</w:t>
            </w:r>
            <w:r w:rsidRPr="00DA6590">
              <w:rPr>
                <w:rFonts w:cs="TimesNewRoman"/>
                <w:sz w:val="22"/>
                <w:szCs w:val="22"/>
              </w:rPr>
              <w:t xml:space="preserve"> promovarea pe net </w:t>
            </w:r>
            <w:r>
              <w:rPr>
                <w:rFonts w:cs="TimesNewRoman"/>
                <w:sz w:val="22"/>
                <w:szCs w:val="22"/>
              </w:rPr>
              <w:t>ş</w:t>
            </w:r>
            <w:r w:rsidRPr="00DA6590">
              <w:rPr>
                <w:rFonts w:cs="TimesNewRoman"/>
                <w:sz w:val="22"/>
                <w:szCs w:val="22"/>
              </w:rPr>
              <w:t>i local a acestor unit</w:t>
            </w:r>
            <w:r>
              <w:rPr>
                <w:rFonts w:cs="TimesNewRoman"/>
                <w:sz w:val="22"/>
                <w:szCs w:val="22"/>
              </w:rPr>
              <w:t>ăţ</w:t>
            </w:r>
            <w:r w:rsidRPr="00DA6590">
              <w:rPr>
                <w:rFonts w:cs="TimesNewRoman"/>
                <w:sz w:val="22"/>
                <w:szCs w:val="22"/>
              </w:rPr>
              <w:t>i</w:t>
            </w:r>
            <w:r>
              <w:rPr>
                <w:rFonts w:cs="TimesNewRoman"/>
                <w:sz w:val="22"/>
                <w:szCs w:val="22"/>
              </w:rPr>
              <w:t>,</w:t>
            </w:r>
            <w:r w:rsidRPr="00DA6590">
              <w:rPr>
                <w:rFonts w:cs="TimesNewRoman"/>
                <w:sz w:val="22"/>
                <w:szCs w:val="22"/>
              </w:rPr>
              <w:t xml:space="preserve"> creearea unor site</w:t>
            </w:r>
            <w:r>
              <w:rPr>
                <w:rFonts w:cs="TimesNewRoman"/>
                <w:sz w:val="22"/>
                <w:szCs w:val="22"/>
              </w:rPr>
              <w:t>-</w:t>
            </w:r>
            <w:r w:rsidRPr="00DA6590">
              <w:rPr>
                <w:rFonts w:cs="TimesNewRoman"/>
                <w:sz w:val="22"/>
                <w:szCs w:val="22"/>
              </w:rPr>
              <w:t>uri specializate pe aceast</w:t>
            </w:r>
            <w:r>
              <w:rPr>
                <w:rFonts w:cs="TimesNewRoman"/>
                <w:sz w:val="22"/>
                <w:szCs w:val="22"/>
              </w:rPr>
              <w:t>ă</w:t>
            </w:r>
            <w:r w:rsidRPr="00DA6590">
              <w:rPr>
                <w:rFonts w:cs="TimesNewRoman"/>
                <w:sz w:val="22"/>
                <w:szCs w:val="22"/>
              </w:rPr>
              <w:t xml:space="preserve"> problem</w:t>
            </w:r>
            <w:r>
              <w:rPr>
                <w:rFonts w:cs="TimesNewRoman"/>
                <w:sz w:val="22"/>
                <w:szCs w:val="22"/>
              </w:rPr>
              <w:t>ă,</w:t>
            </w:r>
            <w:r w:rsidRPr="00DA6590">
              <w:rPr>
                <w:rFonts w:cs="TimesNewRoman"/>
                <w:sz w:val="22"/>
                <w:szCs w:val="22"/>
              </w:rPr>
              <w:t xml:space="preserve"> promovarea acestei idei </w:t>
            </w:r>
            <w:r>
              <w:rPr>
                <w:rFonts w:cs="TimesNewRoman"/>
                <w:sz w:val="22"/>
                <w:szCs w:val="22"/>
              </w:rPr>
              <w:t>î</w:t>
            </w:r>
            <w:r w:rsidRPr="00DA6590">
              <w:rPr>
                <w:rFonts w:cs="TimesNewRoman"/>
                <w:sz w:val="22"/>
                <w:szCs w:val="22"/>
              </w:rPr>
              <w:t>n licee, universit</w:t>
            </w:r>
            <w:r>
              <w:rPr>
                <w:rFonts w:cs="TimesNewRoman"/>
                <w:sz w:val="22"/>
                <w:szCs w:val="22"/>
              </w:rPr>
              <w:t>ăţi;</w:t>
            </w:r>
          </w:p>
          <w:p w:rsidR="00DA6590" w:rsidRPr="00594023" w:rsidRDefault="00DA6590" w:rsidP="003808CC">
            <w:pPr>
              <w:pStyle w:val="ListParagraph"/>
              <w:numPr>
                <w:ilvl w:val="0"/>
                <w:numId w:val="8"/>
              </w:numPr>
              <w:spacing w:before="0" w:after="0" w:line="240" w:lineRule="auto"/>
              <w:ind w:left="284" w:hanging="284"/>
              <w:rPr>
                <w:rFonts w:cs="TimesNewRoman"/>
                <w:b/>
                <w:sz w:val="22"/>
                <w:szCs w:val="22"/>
              </w:rPr>
            </w:pPr>
            <w:r>
              <w:rPr>
                <w:rFonts w:cs="TimesNewRoman"/>
                <w:sz w:val="22"/>
                <w:szCs w:val="22"/>
              </w:rPr>
              <w:t>c</w:t>
            </w:r>
            <w:r w:rsidRPr="00DA6590">
              <w:rPr>
                <w:rFonts w:cs="TimesNewRoman"/>
                <w:sz w:val="22"/>
                <w:szCs w:val="22"/>
              </w:rPr>
              <w:t>unoa</w:t>
            </w:r>
            <w:r>
              <w:rPr>
                <w:rFonts w:cs="TimesNewRoman"/>
                <w:sz w:val="22"/>
                <w:szCs w:val="22"/>
              </w:rPr>
              <w:t>ş</w:t>
            </w:r>
            <w:r w:rsidRPr="00DA6590">
              <w:rPr>
                <w:rFonts w:cs="TimesNewRoman"/>
                <w:sz w:val="22"/>
                <w:szCs w:val="22"/>
              </w:rPr>
              <w:t>terea celor implica</w:t>
            </w:r>
            <w:r>
              <w:rPr>
                <w:rFonts w:cs="TimesNewRoman"/>
                <w:sz w:val="22"/>
                <w:szCs w:val="22"/>
              </w:rPr>
              <w:t>ţ</w:t>
            </w:r>
            <w:r w:rsidRPr="00DA6590">
              <w:rPr>
                <w:rFonts w:cs="TimesNewRoman"/>
                <w:sz w:val="22"/>
                <w:szCs w:val="22"/>
              </w:rPr>
              <w:t>i/</w:t>
            </w:r>
            <w:r>
              <w:rPr>
                <w:rFonts w:cs="TimesNewRoman"/>
                <w:sz w:val="22"/>
                <w:szCs w:val="22"/>
              </w:rPr>
              <w:t xml:space="preserve"> </w:t>
            </w:r>
            <w:r w:rsidRPr="00DA6590">
              <w:rPr>
                <w:rFonts w:cs="TimesNewRoman"/>
                <w:sz w:val="22"/>
                <w:szCs w:val="22"/>
              </w:rPr>
              <w:t>preocupa</w:t>
            </w:r>
            <w:r>
              <w:rPr>
                <w:rFonts w:cs="TimesNewRoman"/>
                <w:sz w:val="22"/>
                <w:szCs w:val="22"/>
              </w:rPr>
              <w:t>ţ</w:t>
            </w:r>
            <w:r w:rsidRPr="00DA6590">
              <w:rPr>
                <w:rFonts w:cs="TimesNewRoman"/>
                <w:sz w:val="22"/>
                <w:szCs w:val="22"/>
              </w:rPr>
              <w:t xml:space="preserve">i </w:t>
            </w:r>
            <w:r>
              <w:rPr>
                <w:rFonts w:cs="TimesNewRoman"/>
                <w:sz w:val="22"/>
                <w:szCs w:val="22"/>
              </w:rPr>
              <w:t>ş</w:t>
            </w:r>
            <w:r w:rsidRPr="00DA6590">
              <w:rPr>
                <w:rFonts w:cs="TimesNewRoman"/>
                <w:sz w:val="22"/>
                <w:szCs w:val="22"/>
              </w:rPr>
              <w:t xml:space="preserve">i popularizarea lor prin orice mijloace de informare, afisaj vizibil </w:t>
            </w:r>
            <w:r>
              <w:rPr>
                <w:rFonts w:cs="TimesNewRoman"/>
                <w:sz w:val="22"/>
                <w:szCs w:val="22"/>
              </w:rPr>
              <w:t>î</w:t>
            </w:r>
            <w:r w:rsidRPr="00DA6590">
              <w:rPr>
                <w:rFonts w:cs="TimesNewRoman"/>
                <w:sz w:val="22"/>
                <w:szCs w:val="22"/>
              </w:rPr>
              <w:t>n orice institu</w:t>
            </w:r>
            <w:r>
              <w:rPr>
                <w:rFonts w:cs="TimesNewRoman"/>
                <w:sz w:val="22"/>
                <w:szCs w:val="22"/>
              </w:rPr>
              <w:t>ţi</w:t>
            </w:r>
            <w:r w:rsidRPr="00DA6590">
              <w:rPr>
                <w:rFonts w:cs="TimesNewRoman"/>
                <w:sz w:val="22"/>
                <w:szCs w:val="22"/>
              </w:rPr>
              <w:t>e public</w:t>
            </w:r>
            <w:r>
              <w:rPr>
                <w:rFonts w:cs="TimesNewRoman"/>
                <w:sz w:val="22"/>
                <w:szCs w:val="22"/>
              </w:rPr>
              <w:t>ă</w:t>
            </w:r>
            <w:r w:rsidRPr="00DA6590">
              <w:rPr>
                <w:rFonts w:cs="TimesNewRoman"/>
                <w:sz w:val="22"/>
                <w:szCs w:val="22"/>
              </w:rPr>
              <w:t>/</w:t>
            </w:r>
            <w:r w:rsidR="009F71B2">
              <w:rPr>
                <w:rFonts w:cs="TimesNewRoman"/>
                <w:sz w:val="22"/>
                <w:szCs w:val="22"/>
              </w:rPr>
              <w:t xml:space="preserve"> </w:t>
            </w:r>
            <w:r w:rsidRPr="00DA6590">
              <w:rPr>
                <w:rFonts w:cs="TimesNewRoman"/>
                <w:sz w:val="22"/>
                <w:szCs w:val="22"/>
              </w:rPr>
              <w:t>magazin/</w:t>
            </w:r>
            <w:r w:rsidR="009F71B2">
              <w:rPr>
                <w:rFonts w:cs="TimesNewRoman"/>
                <w:sz w:val="22"/>
                <w:szCs w:val="22"/>
              </w:rPr>
              <w:t xml:space="preserve"> restaurant </w:t>
            </w:r>
            <w:r w:rsidRPr="00DA6590">
              <w:rPr>
                <w:rFonts w:cs="TimesNewRoman"/>
                <w:sz w:val="22"/>
                <w:szCs w:val="22"/>
              </w:rPr>
              <w:t xml:space="preserve">etc. </w:t>
            </w:r>
            <w:r>
              <w:rPr>
                <w:rFonts w:cs="TimesNewRoman"/>
                <w:sz w:val="22"/>
                <w:szCs w:val="22"/>
              </w:rPr>
              <w:t>ş</w:t>
            </w:r>
            <w:r w:rsidRPr="00DA6590">
              <w:rPr>
                <w:rFonts w:cs="TimesNewRoman"/>
                <w:sz w:val="22"/>
                <w:szCs w:val="22"/>
              </w:rPr>
              <w:t>i mai ales con</w:t>
            </w:r>
            <w:r>
              <w:rPr>
                <w:rFonts w:cs="TimesNewRoman"/>
                <w:sz w:val="22"/>
                <w:szCs w:val="22"/>
              </w:rPr>
              <w:t>ş</w:t>
            </w:r>
            <w:r w:rsidRPr="00DA6590">
              <w:rPr>
                <w:rFonts w:cs="TimesNewRoman"/>
                <w:sz w:val="22"/>
                <w:szCs w:val="22"/>
              </w:rPr>
              <w:t>tientizarea personalului care ar trebui s</w:t>
            </w:r>
            <w:r>
              <w:rPr>
                <w:rFonts w:cs="TimesNewRoman"/>
                <w:sz w:val="22"/>
                <w:szCs w:val="22"/>
              </w:rPr>
              <w:t>ă</w:t>
            </w:r>
            <w:r w:rsidRPr="00DA6590">
              <w:rPr>
                <w:rFonts w:cs="TimesNewRoman"/>
                <w:sz w:val="22"/>
                <w:szCs w:val="22"/>
              </w:rPr>
              <w:t xml:space="preserve"> fie cei mai buni ambasadori ai cauzei, celula de baz</w:t>
            </w:r>
            <w:r w:rsidR="009F71B2">
              <w:rPr>
                <w:rFonts w:cs="TimesNewRoman"/>
                <w:sz w:val="22"/>
                <w:szCs w:val="22"/>
              </w:rPr>
              <w:t>ă</w:t>
            </w:r>
            <w:r w:rsidRPr="00DA6590">
              <w:rPr>
                <w:rFonts w:cs="TimesNewRoman"/>
                <w:sz w:val="22"/>
                <w:szCs w:val="22"/>
              </w:rPr>
              <w:t>.</w:t>
            </w:r>
          </w:p>
        </w:tc>
        <w:tc>
          <w:tcPr>
            <w:tcW w:w="3564" w:type="dxa"/>
            <w:vAlign w:val="center"/>
          </w:tcPr>
          <w:p w:rsidR="008D3690" w:rsidRPr="00561A83" w:rsidRDefault="008B2288" w:rsidP="00594023">
            <w:pPr>
              <w:pStyle w:val="ListParagraph"/>
              <w:spacing w:before="0" w:after="0" w:line="240" w:lineRule="auto"/>
              <w:ind w:left="0"/>
              <w:jc w:val="center"/>
              <w:rPr>
                <w:rFonts w:cs="TimesNewRoman"/>
                <w:sz w:val="22"/>
                <w:szCs w:val="22"/>
              </w:rPr>
            </w:pPr>
            <w:r w:rsidRPr="00561A83">
              <w:rPr>
                <w:rFonts w:cs="TimesNewRoman"/>
                <w:sz w:val="22"/>
                <w:szCs w:val="22"/>
              </w:rPr>
              <w:lastRenderedPageBreak/>
              <w:t>-</w:t>
            </w:r>
          </w:p>
        </w:tc>
      </w:tr>
      <w:tr w:rsidR="00D048A5" w:rsidRPr="00594023" w:rsidTr="008B2288">
        <w:trPr>
          <w:jc w:val="center"/>
        </w:trPr>
        <w:tc>
          <w:tcPr>
            <w:tcW w:w="2177" w:type="dxa"/>
            <w:vAlign w:val="center"/>
          </w:tcPr>
          <w:p w:rsidR="008D3690" w:rsidRPr="00594023" w:rsidRDefault="008D3690" w:rsidP="00310AE2">
            <w:pPr>
              <w:pStyle w:val="ListParagraph"/>
              <w:spacing w:before="0" w:after="0" w:line="240" w:lineRule="auto"/>
              <w:ind w:left="0"/>
              <w:jc w:val="center"/>
              <w:rPr>
                <w:rFonts w:cs="TimesNewRoman"/>
                <w:b/>
                <w:sz w:val="22"/>
                <w:szCs w:val="22"/>
              </w:rPr>
            </w:pPr>
            <w:r w:rsidRPr="00594023">
              <w:rPr>
                <w:rFonts w:cs="TimesNewRoman"/>
                <w:b/>
                <w:sz w:val="22"/>
                <w:szCs w:val="22"/>
              </w:rPr>
              <w:lastRenderedPageBreak/>
              <w:t>Privind comunicarea/ diseminarea informaţiilor</w:t>
            </w:r>
          </w:p>
        </w:tc>
        <w:tc>
          <w:tcPr>
            <w:tcW w:w="3802" w:type="dxa"/>
            <w:vAlign w:val="center"/>
          </w:tcPr>
          <w:p w:rsidR="008D3690" w:rsidRPr="00A51A4B" w:rsidRDefault="008D3690" w:rsidP="003808CC">
            <w:pPr>
              <w:pStyle w:val="ListParagraph"/>
              <w:numPr>
                <w:ilvl w:val="0"/>
                <w:numId w:val="6"/>
              </w:numPr>
              <w:spacing w:before="0" w:after="0" w:line="240" w:lineRule="auto"/>
              <w:ind w:left="284" w:hanging="284"/>
              <w:rPr>
                <w:rFonts w:cs="TimesNewRoman"/>
                <w:b/>
                <w:sz w:val="22"/>
                <w:szCs w:val="22"/>
              </w:rPr>
            </w:pPr>
            <w:r w:rsidRPr="000635F2">
              <w:rPr>
                <w:rFonts w:cs="TimesNewRoman"/>
                <w:sz w:val="22"/>
                <w:szCs w:val="22"/>
              </w:rPr>
              <w:t xml:space="preserve">accesarea unor modele comunitare de succes, </w:t>
            </w:r>
            <w:r>
              <w:rPr>
                <w:rFonts w:cs="TimesNewRoman"/>
                <w:sz w:val="22"/>
                <w:szCs w:val="22"/>
              </w:rPr>
              <w:t>instruiri, schimb de experienţă;</w:t>
            </w:r>
          </w:p>
          <w:p w:rsidR="008D3690" w:rsidRPr="00594023" w:rsidRDefault="008D3690" w:rsidP="003808CC">
            <w:pPr>
              <w:pStyle w:val="ListParagraph"/>
              <w:numPr>
                <w:ilvl w:val="0"/>
                <w:numId w:val="6"/>
              </w:numPr>
              <w:spacing w:before="0" w:after="0" w:line="240" w:lineRule="auto"/>
              <w:ind w:left="284" w:hanging="284"/>
              <w:rPr>
                <w:rFonts w:cs="TimesNewRoman"/>
                <w:b/>
                <w:sz w:val="22"/>
                <w:szCs w:val="22"/>
              </w:rPr>
            </w:pPr>
            <w:r>
              <w:rPr>
                <w:rFonts w:cs="TimesNewRoman"/>
                <w:sz w:val="22"/>
                <w:szCs w:val="22"/>
              </w:rPr>
              <w:t>comunicări</w:t>
            </w:r>
            <w:r w:rsidRPr="00D745F1">
              <w:rPr>
                <w:rFonts w:cs="TimesNewRoman"/>
                <w:sz w:val="22"/>
                <w:szCs w:val="22"/>
              </w:rPr>
              <w:t xml:space="preserve"> media, online</w:t>
            </w:r>
            <w:r>
              <w:rPr>
                <w:rFonts w:cs="TimesNewRoman"/>
                <w:sz w:val="22"/>
                <w:szCs w:val="22"/>
              </w:rPr>
              <w:t xml:space="preserve"> cu privire la subiectul risipei de alimente.</w:t>
            </w:r>
          </w:p>
        </w:tc>
        <w:tc>
          <w:tcPr>
            <w:tcW w:w="3773" w:type="dxa"/>
            <w:vAlign w:val="center"/>
          </w:tcPr>
          <w:p w:rsidR="008D3690" w:rsidRPr="00594023" w:rsidRDefault="008D3690" w:rsidP="003808CC">
            <w:pPr>
              <w:pStyle w:val="ListParagraph"/>
              <w:numPr>
                <w:ilvl w:val="0"/>
                <w:numId w:val="8"/>
              </w:numPr>
              <w:spacing w:before="0" w:after="0" w:line="240" w:lineRule="auto"/>
              <w:ind w:left="284" w:hanging="284"/>
              <w:rPr>
                <w:rFonts w:cs="TimesNewRoman"/>
                <w:b/>
                <w:sz w:val="22"/>
                <w:szCs w:val="22"/>
              </w:rPr>
            </w:pPr>
            <w:r w:rsidRPr="00503AA3">
              <w:rPr>
                <w:rFonts w:cs="TimesNewRoman"/>
                <w:sz w:val="22"/>
                <w:szCs w:val="22"/>
              </w:rPr>
              <w:t>crearea unei pagini web care să conţină informaţii actualizate cu: Asociaţii/Fundaţii/Organizaţii/Companii care achiziţionează/ utilizează/ comercializează astfel de produse, precum şi ce categorii de produse acceptă/ doresc, şi ce autorizări deţin (inclusiv de mediu)</w:t>
            </w:r>
            <w:r>
              <w:rPr>
                <w:rFonts w:cs="TimesNewRoman"/>
                <w:sz w:val="22"/>
                <w:szCs w:val="22"/>
              </w:rPr>
              <w:t>.</w:t>
            </w:r>
          </w:p>
        </w:tc>
        <w:tc>
          <w:tcPr>
            <w:tcW w:w="3340" w:type="dxa"/>
            <w:vMerge/>
            <w:vAlign w:val="center"/>
          </w:tcPr>
          <w:p w:rsidR="008D3690" w:rsidRPr="00594023" w:rsidRDefault="008D3690" w:rsidP="00594023">
            <w:pPr>
              <w:pStyle w:val="ListParagraph"/>
              <w:spacing w:before="0" w:after="0" w:line="240" w:lineRule="auto"/>
              <w:ind w:left="0"/>
              <w:jc w:val="center"/>
              <w:rPr>
                <w:rFonts w:cs="TimesNewRoman"/>
                <w:b/>
                <w:sz w:val="22"/>
                <w:szCs w:val="22"/>
              </w:rPr>
            </w:pPr>
          </w:p>
        </w:tc>
        <w:tc>
          <w:tcPr>
            <w:tcW w:w="3564" w:type="dxa"/>
            <w:vAlign w:val="center"/>
          </w:tcPr>
          <w:p w:rsidR="008D3690" w:rsidRPr="00594023" w:rsidRDefault="008B2288" w:rsidP="003808CC">
            <w:pPr>
              <w:pStyle w:val="ListParagraph"/>
              <w:numPr>
                <w:ilvl w:val="0"/>
                <w:numId w:val="6"/>
              </w:numPr>
              <w:spacing w:before="0" w:after="0" w:line="240" w:lineRule="auto"/>
              <w:ind w:left="284" w:hanging="284"/>
              <w:rPr>
                <w:rFonts w:cs="TimesNewRoman"/>
                <w:b/>
                <w:sz w:val="22"/>
                <w:szCs w:val="22"/>
              </w:rPr>
            </w:pPr>
            <w:r w:rsidRPr="008B2288">
              <w:rPr>
                <w:rFonts w:cs="TimesNewRoman"/>
                <w:sz w:val="22"/>
                <w:szCs w:val="22"/>
              </w:rPr>
              <w:t>organiz</w:t>
            </w:r>
            <w:r>
              <w:rPr>
                <w:rFonts w:cs="TimesNewRoman"/>
                <w:sz w:val="22"/>
                <w:szCs w:val="22"/>
              </w:rPr>
              <w:t>area</w:t>
            </w:r>
            <w:r w:rsidRPr="008B2288">
              <w:rPr>
                <w:rFonts w:cs="TimesNewRoman"/>
                <w:sz w:val="22"/>
                <w:szCs w:val="22"/>
              </w:rPr>
              <w:t xml:space="preserve"> </w:t>
            </w:r>
            <w:r>
              <w:rPr>
                <w:rFonts w:cs="TimesNewRoman"/>
                <w:sz w:val="22"/>
                <w:szCs w:val="22"/>
              </w:rPr>
              <w:t xml:space="preserve">unor </w:t>
            </w:r>
            <w:r w:rsidRPr="008B2288">
              <w:rPr>
                <w:rFonts w:cs="TimesNewRoman"/>
                <w:sz w:val="22"/>
                <w:szCs w:val="22"/>
              </w:rPr>
              <w:t>întâlniri</w:t>
            </w:r>
            <w:r>
              <w:rPr>
                <w:rFonts w:cs="TimesNewRoman"/>
                <w:sz w:val="22"/>
                <w:szCs w:val="22"/>
              </w:rPr>
              <w:t>,</w:t>
            </w:r>
            <w:r w:rsidRPr="008B2288">
              <w:rPr>
                <w:rFonts w:cs="TimesNewRoman"/>
                <w:sz w:val="22"/>
                <w:szCs w:val="22"/>
              </w:rPr>
              <w:t xml:space="preserve"> la nivel de judeţ/</w:t>
            </w:r>
            <w:r>
              <w:rPr>
                <w:rFonts w:cs="TimesNewRoman"/>
                <w:sz w:val="22"/>
                <w:szCs w:val="22"/>
              </w:rPr>
              <w:t xml:space="preserve"> </w:t>
            </w:r>
            <w:r w:rsidRPr="008B2288">
              <w:rPr>
                <w:rFonts w:cs="TimesNewRoman"/>
                <w:sz w:val="22"/>
                <w:szCs w:val="22"/>
              </w:rPr>
              <w:t>resedinţă de judeţ</w:t>
            </w:r>
            <w:r>
              <w:rPr>
                <w:rFonts w:cs="TimesNewRoman"/>
                <w:sz w:val="22"/>
                <w:szCs w:val="22"/>
              </w:rPr>
              <w:t>,</w:t>
            </w:r>
            <w:r w:rsidRPr="008B2288">
              <w:rPr>
                <w:rFonts w:cs="TimesNewRoman"/>
                <w:sz w:val="22"/>
                <w:szCs w:val="22"/>
              </w:rPr>
              <w:t xml:space="preserve"> atât cu reprezentanţi ai furnizorilor (hipermarket, producător/distribuitor), cât şi cu reprezentanţi ai ong-urilor/</w:t>
            </w:r>
            <w:r>
              <w:rPr>
                <w:rFonts w:cs="TimesNewRoman"/>
                <w:sz w:val="22"/>
                <w:szCs w:val="22"/>
              </w:rPr>
              <w:t xml:space="preserve"> </w:t>
            </w:r>
            <w:r w:rsidRPr="008B2288">
              <w:rPr>
                <w:rFonts w:cs="TimesNewRoman"/>
                <w:sz w:val="22"/>
                <w:szCs w:val="22"/>
              </w:rPr>
              <w:t>centrelor sociale, firmelor de reciclare etc</w:t>
            </w:r>
            <w:r w:rsidR="001F515C">
              <w:rPr>
                <w:rFonts w:cs="TimesNewRoman"/>
                <w:sz w:val="22"/>
                <w:szCs w:val="22"/>
              </w:rPr>
              <w:t>.</w:t>
            </w:r>
            <w:r>
              <w:rPr>
                <w:rFonts w:cs="TimesNewRoman"/>
                <w:sz w:val="22"/>
                <w:szCs w:val="22"/>
              </w:rPr>
              <w:t>, cu scopul de a se</w:t>
            </w:r>
            <w:r w:rsidRPr="008B2288">
              <w:rPr>
                <w:rFonts w:cs="TimesNewRoman"/>
                <w:sz w:val="22"/>
                <w:szCs w:val="22"/>
              </w:rPr>
              <w:t xml:space="preserve"> cuno</w:t>
            </w:r>
            <w:r>
              <w:rPr>
                <w:rFonts w:cs="TimesNewRoman"/>
                <w:sz w:val="22"/>
                <w:szCs w:val="22"/>
              </w:rPr>
              <w:t xml:space="preserve">aşte </w:t>
            </w:r>
            <w:r w:rsidRPr="008B2288">
              <w:rPr>
                <w:rFonts w:cs="TimesNewRoman"/>
                <w:sz w:val="22"/>
                <w:szCs w:val="22"/>
              </w:rPr>
              <w:t xml:space="preserve">şi </w:t>
            </w:r>
            <w:r>
              <w:rPr>
                <w:rFonts w:cs="TimesNewRoman"/>
                <w:sz w:val="22"/>
                <w:szCs w:val="22"/>
              </w:rPr>
              <w:t>a încheia</w:t>
            </w:r>
            <w:r w:rsidRPr="008B2288">
              <w:rPr>
                <w:rFonts w:cs="TimesNewRoman"/>
                <w:sz w:val="22"/>
                <w:szCs w:val="22"/>
              </w:rPr>
              <w:t xml:space="preserve"> colabor</w:t>
            </w:r>
            <w:r>
              <w:rPr>
                <w:rFonts w:cs="TimesNewRoman"/>
                <w:sz w:val="22"/>
                <w:szCs w:val="22"/>
              </w:rPr>
              <w:t>ă</w:t>
            </w:r>
            <w:r w:rsidRPr="008B2288">
              <w:rPr>
                <w:rFonts w:cs="TimesNewRoman"/>
                <w:sz w:val="22"/>
                <w:szCs w:val="22"/>
              </w:rPr>
              <w:t>r</w:t>
            </w:r>
            <w:r>
              <w:rPr>
                <w:rFonts w:cs="TimesNewRoman"/>
                <w:sz w:val="22"/>
                <w:szCs w:val="22"/>
              </w:rPr>
              <w:t>i</w:t>
            </w:r>
            <w:r w:rsidRPr="008B2288">
              <w:rPr>
                <w:rFonts w:cs="TimesNewRoman"/>
                <w:sz w:val="22"/>
                <w:szCs w:val="22"/>
              </w:rPr>
              <w:t>.</w:t>
            </w:r>
          </w:p>
        </w:tc>
      </w:tr>
    </w:tbl>
    <w:p w:rsidR="004676B6" w:rsidRDefault="004676B6" w:rsidP="001D7826">
      <w:pPr>
        <w:pStyle w:val="ListParagraph"/>
        <w:spacing w:before="0" w:after="160" w:line="259" w:lineRule="auto"/>
        <w:jc w:val="left"/>
        <w:rPr>
          <w:rFonts w:cs="TimesNewRoman"/>
          <w:b/>
        </w:rPr>
        <w:sectPr w:rsidR="004676B6" w:rsidSect="008D3690">
          <w:headerReference w:type="default" r:id="rId13"/>
          <w:footerReference w:type="default" r:id="rId14"/>
          <w:headerReference w:type="first" r:id="rId15"/>
          <w:footerReference w:type="first" r:id="rId16"/>
          <w:pgSz w:w="16838" w:h="11906" w:orient="landscape" w:code="9"/>
          <w:pgMar w:top="1276" w:right="1134" w:bottom="1134" w:left="1134" w:header="567" w:footer="567" w:gutter="0"/>
          <w:cols w:space="708"/>
          <w:titlePg/>
          <w:docGrid w:linePitch="360"/>
        </w:sectPr>
      </w:pPr>
    </w:p>
    <w:p w:rsidR="00C97722" w:rsidRPr="00A201FE" w:rsidRDefault="00C97722" w:rsidP="00C97722">
      <w:pPr>
        <w:rPr>
          <w:noProof/>
        </w:rPr>
      </w:pPr>
      <w:r>
        <w:rPr>
          <w:noProof/>
        </w:rPr>
        <w:lastRenderedPageBreak/>
        <w:t>Per total,</w:t>
      </w:r>
      <w:r w:rsidRPr="005C71FF">
        <w:rPr>
          <w:noProof/>
        </w:rPr>
        <w:t xml:space="preserve"> </w:t>
      </w:r>
      <w:r w:rsidRPr="00A201FE">
        <w:rPr>
          <w:b/>
          <w:noProof/>
        </w:rPr>
        <w:t>constrângerile/ barierele</w:t>
      </w:r>
      <w:r w:rsidRPr="005C71FF">
        <w:rPr>
          <w:noProof/>
        </w:rPr>
        <w:t xml:space="preserve"> identificate la nivelul sectoarelor investigate, vis-à-vis de tematica abordată,</w:t>
      </w:r>
      <w:r>
        <w:rPr>
          <w:noProof/>
        </w:rPr>
        <w:t xml:space="preserve"> sunt de natură:</w:t>
      </w:r>
    </w:p>
    <w:p w:rsidR="00C97722" w:rsidRPr="003A2AFF" w:rsidRDefault="00C97722" w:rsidP="003808CC">
      <w:pPr>
        <w:pStyle w:val="ListParagraph"/>
        <w:numPr>
          <w:ilvl w:val="0"/>
          <w:numId w:val="2"/>
        </w:numPr>
        <w:rPr>
          <w:b/>
          <w:noProof/>
          <w:u w:val="single"/>
        </w:rPr>
      </w:pPr>
      <w:r w:rsidRPr="003A2AFF">
        <w:rPr>
          <w:b/>
          <w:i/>
          <w:noProof/>
          <w:u w:val="single"/>
        </w:rPr>
        <w:t>Legislativă</w:t>
      </w:r>
      <w:r w:rsidRPr="003A2AFF">
        <w:rPr>
          <w:b/>
          <w:noProof/>
          <w:u w:val="single"/>
        </w:rPr>
        <w:t>:</w:t>
      </w:r>
    </w:p>
    <w:p w:rsidR="00C97722" w:rsidRPr="00955920" w:rsidRDefault="00C97722" w:rsidP="003808CC">
      <w:pPr>
        <w:pStyle w:val="ListParagraph"/>
        <w:numPr>
          <w:ilvl w:val="0"/>
          <w:numId w:val="3"/>
        </w:numPr>
        <w:ind w:left="867" w:hanging="357"/>
        <w:rPr>
          <w:noProof/>
        </w:rPr>
      </w:pPr>
      <w:r w:rsidRPr="003A2AFF">
        <w:rPr>
          <w:b/>
          <w:noProof/>
        </w:rPr>
        <w:t>legislaţia actuală</w:t>
      </w:r>
      <w:r>
        <w:rPr>
          <w:noProof/>
        </w:rPr>
        <w:t xml:space="preserve"> (ex. </w:t>
      </w:r>
      <w:r w:rsidRPr="00A90D04">
        <w:rPr>
          <w:i/>
          <w:noProof/>
        </w:rPr>
        <w:t xml:space="preserve">Ordonanţa nr. 24/24.08.2016 privind organizarea şi desfăşurarea activităţii de neutralizare deşeuri de origine </w:t>
      </w:r>
      <w:r w:rsidRPr="00955920">
        <w:rPr>
          <w:i/>
          <w:noProof/>
        </w:rPr>
        <w:t>animală</w:t>
      </w:r>
      <w:r w:rsidRPr="00955920">
        <w:rPr>
          <w:noProof/>
        </w:rPr>
        <w:t xml:space="preserve">) încurajează modelul de “business” cvasi-unic (cu minime excepţii de valorificare), centrat pe predarea alimentelor improprii consumului uman </w:t>
      </w:r>
      <w:r w:rsidRPr="00955920">
        <w:rPr>
          <w:rFonts w:cs="Garamond"/>
          <w:noProof/>
        </w:rPr>
        <w:t>î</w:t>
      </w:r>
      <w:r w:rsidRPr="00955920">
        <w:rPr>
          <w:noProof/>
        </w:rPr>
        <w:t>n vederea distrugerii (în principal către Protan);</w:t>
      </w:r>
    </w:p>
    <w:p w:rsidR="00C97722" w:rsidRPr="00955920" w:rsidRDefault="00C97722" w:rsidP="003808CC">
      <w:pPr>
        <w:pStyle w:val="ListParagraph"/>
        <w:numPr>
          <w:ilvl w:val="0"/>
          <w:numId w:val="3"/>
        </w:numPr>
        <w:ind w:left="867" w:hanging="357"/>
        <w:rPr>
          <w:noProof/>
        </w:rPr>
      </w:pPr>
      <w:r w:rsidRPr="00955920">
        <w:rPr>
          <w:noProof/>
        </w:rPr>
        <w:t>lipsa corelării donaţiilor cu legislaţia privind sponsoriz</w:t>
      </w:r>
      <w:r w:rsidRPr="00955920">
        <w:rPr>
          <w:rFonts w:cs="Garamond"/>
          <w:noProof/>
        </w:rPr>
        <w:t>ă</w:t>
      </w:r>
      <w:r w:rsidRPr="00955920">
        <w:rPr>
          <w:noProof/>
        </w:rPr>
        <w:t>rile (</w:t>
      </w:r>
      <w:r w:rsidRPr="003A2AFF">
        <w:rPr>
          <w:b/>
          <w:noProof/>
        </w:rPr>
        <w:t>deductibilitate</w:t>
      </w:r>
      <w:r w:rsidRPr="00955920">
        <w:rPr>
          <w:noProof/>
        </w:rPr>
        <w:t>);</w:t>
      </w:r>
    </w:p>
    <w:p w:rsidR="00C97722" w:rsidRPr="00955920" w:rsidRDefault="00C97722" w:rsidP="003808CC">
      <w:pPr>
        <w:pStyle w:val="ListParagraph"/>
        <w:numPr>
          <w:ilvl w:val="0"/>
          <w:numId w:val="3"/>
        </w:numPr>
        <w:ind w:left="867" w:hanging="357"/>
        <w:rPr>
          <w:noProof/>
        </w:rPr>
      </w:pPr>
      <w:r w:rsidRPr="00955920">
        <w:rPr>
          <w:noProof/>
        </w:rPr>
        <w:t xml:space="preserve">lipsa reducerii/ eliminării </w:t>
      </w:r>
      <w:r w:rsidRPr="003A2AFF">
        <w:rPr>
          <w:b/>
          <w:noProof/>
        </w:rPr>
        <w:t>TVA</w:t>
      </w:r>
      <w:r w:rsidRPr="00955920">
        <w:rPr>
          <w:noProof/>
        </w:rPr>
        <w:t>-ului la alimentele donate;</w:t>
      </w:r>
    </w:p>
    <w:p w:rsidR="00C97722" w:rsidRDefault="00C97722" w:rsidP="003808CC">
      <w:pPr>
        <w:pStyle w:val="ListParagraph"/>
        <w:numPr>
          <w:ilvl w:val="0"/>
          <w:numId w:val="3"/>
        </w:numPr>
        <w:ind w:left="867" w:hanging="357"/>
        <w:rPr>
          <w:noProof/>
        </w:rPr>
      </w:pPr>
      <w:r w:rsidRPr="003A2AFF">
        <w:rPr>
          <w:b/>
          <w:noProof/>
        </w:rPr>
        <w:t>neclarităţi privind terminologia</w:t>
      </w:r>
      <w:r>
        <w:rPr>
          <w:noProof/>
        </w:rPr>
        <w:t xml:space="preserve"> utilizată pentru</w:t>
      </w:r>
      <w:r w:rsidRPr="00C766ED">
        <w:rPr>
          <w:noProof/>
        </w:rPr>
        <w:t xml:space="preserve"> etichetarea alimentelor </w:t>
      </w:r>
      <w:r>
        <w:rPr>
          <w:noProof/>
        </w:rPr>
        <w:t>(</w:t>
      </w:r>
      <w:r w:rsidRPr="00780CF6">
        <w:rPr>
          <w:noProof/>
        </w:rPr>
        <w:t>“</w:t>
      </w:r>
      <w:r>
        <w:rPr>
          <w:noProof/>
        </w:rPr>
        <w:t>a se consuma, de preferinţ</w:t>
      </w:r>
      <w:r w:rsidRPr="00780CF6">
        <w:rPr>
          <w:noProof/>
        </w:rPr>
        <w:t>ă</w:t>
      </w:r>
      <w:r>
        <w:rPr>
          <w:noProof/>
        </w:rPr>
        <w:t xml:space="preserve">, </w:t>
      </w:r>
      <w:r w:rsidRPr="00780CF6">
        <w:rPr>
          <w:noProof/>
        </w:rPr>
        <w:t>î</w:t>
      </w:r>
      <w:r>
        <w:rPr>
          <w:noProof/>
        </w:rPr>
        <w:t>nainte de...</w:t>
      </w:r>
      <w:r w:rsidRPr="00780CF6">
        <w:rPr>
          <w:noProof/>
        </w:rPr>
        <w:t>”</w:t>
      </w:r>
      <w:r>
        <w:rPr>
          <w:noProof/>
        </w:rPr>
        <w:t xml:space="preserve">, </w:t>
      </w:r>
      <w:r w:rsidRPr="00C766ED">
        <w:t>„a se consuma, d</w:t>
      </w:r>
      <w:r>
        <w:t>e preferinţă, până la sfârşitul.</w:t>
      </w:r>
      <w:r w:rsidRPr="00C766ED">
        <w:t>..</w:t>
      </w:r>
      <w:r>
        <w:t>”</w:t>
      </w:r>
      <w:r w:rsidRPr="00C766ED">
        <w:rPr>
          <w:noProof/>
        </w:rPr>
        <w:t xml:space="preserve"> </w:t>
      </w:r>
      <w:r>
        <w:rPr>
          <w:noProof/>
        </w:rPr>
        <w:t xml:space="preserve">şi </w:t>
      </w:r>
      <w:r w:rsidRPr="00780CF6">
        <w:rPr>
          <w:noProof/>
        </w:rPr>
        <w:t>“</w:t>
      </w:r>
      <w:r>
        <w:rPr>
          <w:noProof/>
        </w:rPr>
        <w:t>expir</w:t>
      </w:r>
      <w:r w:rsidRPr="00780CF6">
        <w:rPr>
          <w:noProof/>
        </w:rPr>
        <w:t>ă</w:t>
      </w:r>
      <w:r>
        <w:rPr>
          <w:noProof/>
        </w:rPr>
        <w:t xml:space="preserve"> la data de...</w:t>
      </w:r>
      <w:r w:rsidRPr="00780CF6">
        <w:rPr>
          <w:noProof/>
        </w:rPr>
        <w:t>”</w:t>
      </w:r>
      <w:r w:rsidRPr="00C766ED">
        <w:rPr>
          <w:noProof/>
        </w:rPr>
        <w:t>)</w:t>
      </w:r>
      <w:r>
        <w:rPr>
          <w:noProof/>
        </w:rPr>
        <w:t xml:space="preserve"> şi statutul produselor (forme acceptate de valorificare) </w:t>
      </w:r>
      <w:r w:rsidRPr="00780CF6">
        <w:rPr>
          <w:noProof/>
        </w:rPr>
        <w:t>î</w:t>
      </w:r>
      <w:r>
        <w:rPr>
          <w:noProof/>
        </w:rPr>
        <w:t>n afara acestor termene;</w:t>
      </w:r>
    </w:p>
    <w:p w:rsidR="00C97722" w:rsidRDefault="00C97722" w:rsidP="003808CC">
      <w:pPr>
        <w:pStyle w:val="ListParagraph"/>
        <w:numPr>
          <w:ilvl w:val="0"/>
          <w:numId w:val="3"/>
        </w:numPr>
        <w:ind w:left="867" w:hanging="357"/>
        <w:rPr>
          <w:noProof/>
        </w:rPr>
      </w:pPr>
      <w:r>
        <w:rPr>
          <w:noProof/>
        </w:rPr>
        <w:t xml:space="preserve">neclarităţi </w:t>
      </w:r>
      <w:r w:rsidRPr="00780CF6">
        <w:rPr>
          <w:noProof/>
        </w:rPr>
        <w:t>î</w:t>
      </w:r>
      <w:r>
        <w:rPr>
          <w:noProof/>
        </w:rPr>
        <w:t>n ceea ce priveşte r</w:t>
      </w:r>
      <w:r w:rsidRPr="00780CF6">
        <w:rPr>
          <w:noProof/>
        </w:rPr>
        <w:t>ă</w:t>
      </w:r>
      <w:r>
        <w:rPr>
          <w:noProof/>
        </w:rPr>
        <w:t>spunderea privind produsele (post-donaţie);</w:t>
      </w:r>
    </w:p>
    <w:p w:rsidR="00C97722" w:rsidRDefault="00C97722" w:rsidP="003808CC">
      <w:pPr>
        <w:pStyle w:val="ListParagraph"/>
        <w:numPr>
          <w:ilvl w:val="0"/>
          <w:numId w:val="3"/>
        </w:numPr>
        <w:ind w:left="867" w:hanging="357"/>
        <w:rPr>
          <w:noProof/>
        </w:rPr>
      </w:pPr>
      <w:r>
        <w:rPr>
          <w:noProof/>
        </w:rPr>
        <w:t xml:space="preserve">lipsa clarităţii </w:t>
      </w:r>
      <w:r w:rsidRPr="00780CF6">
        <w:rPr>
          <w:noProof/>
        </w:rPr>
        <w:t>î</w:t>
      </w:r>
      <w:r>
        <w:rPr>
          <w:noProof/>
        </w:rPr>
        <w:t xml:space="preserve">n ceea ce priveşte </w:t>
      </w:r>
      <w:r w:rsidRPr="003A2AFF">
        <w:rPr>
          <w:b/>
          <w:noProof/>
        </w:rPr>
        <w:t>formele de valorificare permise</w:t>
      </w:r>
      <w:r>
        <w:rPr>
          <w:noProof/>
        </w:rPr>
        <w:t xml:space="preserve"> (post-donaţie: gratuit versus contra cost);</w:t>
      </w:r>
    </w:p>
    <w:p w:rsidR="00C97722" w:rsidRDefault="00C97722" w:rsidP="003808CC">
      <w:pPr>
        <w:pStyle w:val="ListParagraph"/>
        <w:numPr>
          <w:ilvl w:val="0"/>
          <w:numId w:val="3"/>
        </w:numPr>
        <w:ind w:left="867" w:hanging="357"/>
        <w:rPr>
          <w:noProof/>
        </w:rPr>
      </w:pPr>
      <w:r w:rsidRPr="003A2AFF">
        <w:rPr>
          <w:b/>
          <w:noProof/>
        </w:rPr>
        <w:t>proceduri foarte stricte</w:t>
      </w:r>
      <w:r>
        <w:rPr>
          <w:noProof/>
        </w:rPr>
        <w:t xml:space="preserve"> la nivelul ANSVSA, motiv pentru care mari cantităţi de produse alimentare deteriorate/ în curs de expirare/ expirate ajung direct la unităţile autorizate pentru preluarea/ neutralizarea acestora (tip PROTAN);</w:t>
      </w:r>
    </w:p>
    <w:p w:rsidR="00C97722" w:rsidRPr="00955920" w:rsidRDefault="00C97722" w:rsidP="003808CC">
      <w:pPr>
        <w:pStyle w:val="ListParagraph"/>
        <w:numPr>
          <w:ilvl w:val="0"/>
          <w:numId w:val="3"/>
        </w:numPr>
        <w:ind w:left="867" w:hanging="357"/>
        <w:rPr>
          <w:noProof/>
        </w:rPr>
      </w:pPr>
      <w:r w:rsidRPr="003A2AFF">
        <w:rPr>
          <w:b/>
          <w:noProof/>
        </w:rPr>
        <w:t>birocraţia excesivă</w:t>
      </w:r>
      <w:r w:rsidRPr="00955920">
        <w:rPr>
          <w:noProof/>
        </w:rPr>
        <w:t xml:space="preserve"> cu privire la modalităţile actuale de valorificare (formularele adecvate de transport, contractul legal, facturarea serviciilor, interschimbul de documente specifice trasabilităţii produselor etc.)</w:t>
      </w:r>
      <w:r>
        <w:rPr>
          <w:noProof/>
        </w:rPr>
        <w:t>.</w:t>
      </w:r>
    </w:p>
    <w:p w:rsidR="00C97722" w:rsidRPr="003A2AFF" w:rsidRDefault="00C97722" w:rsidP="003808CC">
      <w:pPr>
        <w:pStyle w:val="ListParagraph"/>
        <w:numPr>
          <w:ilvl w:val="0"/>
          <w:numId w:val="2"/>
        </w:numPr>
        <w:rPr>
          <w:b/>
          <w:i/>
          <w:noProof/>
          <w:u w:val="single"/>
        </w:rPr>
      </w:pPr>
      <w:r w:rsidRPr="003A2AFF">
        <w:rPr>
          <w:b/>
          <w:i/>
          <w:noProof/>
          <w:u w:val="single"/>
        </w:rPr>
        <w:t>Logistică/ Administrativă:</w:t>
      </w:r>
    </w:p>
    <w:p w:rsidR="00C97722" w:rsidRPr="000A2790" w:rsidRDefault="00C97722" w:rsidP="003808CC">
      <w:pPr>
        <w:pStyle w:val="ListParagraph"/>
        <w:numPr>
          <w:ilvl w:val="0"/>
          <w:numId w:val="3"/>
        </w:numPr>
        <w:ind w:left="867" w:hanging="357"/>
        <w:rPr>
          <w:noProof/>
        </w:rPr>
      </w:pPr>
      <w:r w:rsidRPr="003A2AFF">
        <w:rPr>
          <w:b/>
          <w:noProof/>
        </w:rPr>
        <w:t>capacitate redusă</w:t>
      </w:r>
      <w:r w:rsidRPr="000A2790">
        <w:rPr>
          <w:noProof/>
        </w:rPr>
        <w:t xml:space="preserve"> a sectorului ONG/ business social </w:t>
      </w:r>
      <w:r w:rsidRPr="003A2AFF">
        <w:rPr>
          <w:b/>
          <w:noProof/>
        </w:rPr>
        <w:t>de</w:t>
      </w:r>
      <w:r w:rsidRPr="000A2790">
        <w:rPr>
          <w:noProof/>
        </w:rPr>
        <w:t xml:space="preserve"> </w:t>
      </w:r>
      <w:r w:rsidRPr="003A2AFF">
        <w:rPr>
          <w:b/>
          <w:noProof/>
        </w:rPr>
        <w:t>preluare a surplusului</w:t>
      </w:r>
      <w:r w:rsidRPr="000A2790">
        <w:rPr>
          <w:noProof/>
        </w:rPr>
        <w:t>, cu respectarea normelor igienico-sanitare în vigoare şi respectarea unor fluxuri constante;</w:t>
      </w:r>
    </w:p>
    <w:p w:rsidR="00C97722" w:rsidRDefault="00C97722" w:rsidP="003808CC">
      <w:pPr>
        <w:pStyle w:val="ListParagraph"/>
        <w:numPr>
          <w:ilvl w:val="0"/>
          <w:numId w:val="3"/>
        </w:numPr>
        <w:ind w:left="867" w:hanging="357"/>
        <w:rPr>
          <w:noProof/>
        </w:rPr>
      </w:pPr>
      <w:r>
        <w:rPr>
          <w:noProof/>
        </w:rPr>
        <w:t xml:space="preserve">lipsa </w:t>
      </w:r>
      <w:r w:rsidRPr="003A2AFF">
        <w:rPr>
          <w:b/>
          <w:noProof/>
        </w:rPr>
        <w:t>instrumentelor de finanţare pentru dezvoltarea capacităţilor logistice</w:t>
      </w:r>
      <w:r>
        <w:rPr>
          <w:noProof/>
        </w:rPr>
        <w:t xml:space="preserve"> (de transport, refrigerare, stocare, distribuţie etc.);</w:t>
      </w:r>
    </w:p>
    <w:p w:rsidR="00C97722" w:rsidRDefault="00C97722" w:rsidP="003808CC">
      <w:pPr>
        <w:pStyle w:val="ListParagraph"/>
        <w:numPr>
          <w:ilvl w:val="0"/>
          <w:numId w:val="3"/>
        </w:numPr>
        <w:ind w:left="867" w:hanging="357"/>
        <w:rPr>
          <w:noProof/>
        </w:rPr>
      </w:pPr>
      <w:r>
        <w:rPr>
          <w:noProof/>
        </w:rPr>
        <w:t xml:space="preserve">lipsa </w:t>
      </w:r>
      <w:r w:rsidRPr="003A2AFF">
        <w:rPr>
          <w:b/>
          <w:noProof/>
        </w:rPr>
        <w:t>băncilor de alimente</w:t>
      </w:r>
      <w:r>
        <w:rPr>
          <w:noProof/>
        </w:rPr>
        <w:t xml:space="preserve"> la nivelul administraţiilor locale/ centrale;</w:t>
      </w:r>
    </w:p>
    <w:p w:rsidR="00C97722" w:rsidRDefault="00C97722" w:rsidP="003808CC">
      <w:pPr>
        <w:pStyle w:val="ListParagraph"/>
        <w:numPr>
          <w:ilvl w:val="0"/>
          <w:numId w:val="3"/>
        </w:numPr>
        <w:ind w:left="867" w:hanging="357"/>
        <w:rPr>
          <w:noProof/>
        </w:rPr>
      </w:pPr>
      <w:r>
        <w:rPr>
          <w:noProof/>
        </w:rPr>
        <w:t xml:space="preserve">lipsa unei </w:t>
      </w:r>
      <w:r w:rsidRPr="003A2AFF">
        <w:rPr>
          <w:b/>
          <w:noProof/>
        </w:rPr>
        <w:t>practici privind trasabilitea</w:t>
      </w:r>
      <w:r>
        <w:rPr>
          <w:noProof/>
        </w:rPr>
        <w:t xml:space="preserve"> produselor alimentare;</w:t>
      </w:r>
    </w:p>
    <w:p w:rsidR="00C97722" w:rsidRDefault="00C97722" w:rsidP="003808CC">
      <w:pPr>
        <w:pStyle w:val="ListParagraph"/>
        <w:numPr>
          <w:ilvl w:val="0"/>
          <w:numId w:val="3"/>
        </w:numPr>
        <w:ind w:left="867" w:hanging="357"/>
        <w:rPr>
          <w:noProof/>
        </w:rPr>
      </w:pPr>
      <w:r>
        <w:rPr>
          <w:noProof/>
        </w:rPr>
        <w:t xml:space="preserve">lipsa unei </w:t>
      </w:r>
      <w:r w:rsidRPr="003A2AFF">
        <w:rPr>
          <w:b/>
          <w:noProof/>
        </w:rPr>
        <w:t>infrastructuri adecvate de transport</w:t>
      </w:r>
      <w:r>
        <w:rPr>
          <w:noProof/>
        </w:rPr>
        <w:t xml:space="preserve"> la nivel naţional;</w:t>
      </w:r>
    </w:p>
    <w:p w:rsidR="00C97722" w:rsidRPr="00955920" w:rsidRDefault="00C97722" w:rsidP="003808CC">
      <w:pPr>
        <w:pStyle w:val="ListParagraph"/>
        <w:numPr>
          <w:ilvl w:val="0"/>
          <w:numId w:val="3"/>
        </w:numPr>
        <w:ind w:left="867" w:hanging="357"/>
        <w:rPr>
          <w:noProof/>
        </w:rPr>
      </w:pPr>
      <w:r w:rsidRPr="00955920">
        <w:rPr>
          <w:noProof/>
        </w:rPr>
        <w:t xml:space="preserve">inexistenţa unor </w:t>
      </w:r>
      <w:r w:rsidRPr="003A2AFF">
        <w:rPr>
          <w:b/>
          <w:noProof/>
        </w:rPr>
        <w:t>sisteme speciale de colectare şi preluare a deşeurilor organice</w:t>
      </w:r>
      <w:r w:rsidRPr="00955920">
        <w:rPr>
          <w:noProof/>
        </w:rPr>
        <w:t xml:space="preserve"> la nivelul consumatorilor.</w:t>
      </w:r>
    </w:p>
    <w:p w:rsidR="00C97722" w:rsidRPr="003A2AFF" w:rsidRDefault="00C97722" w:rsidP="003808CC">
      <w:pPr>
        <w:pStyle w:val="ListParagraph"/>
        <w:numPr>
          <w:ilvl w:val="0"/>
          <w:numId w:val="2"/>
        </w:numPr>
        <w:rPr>
          <w:b/>
          <w:i/>
          <w:noProof/>
          <w:u w:val="single"/>
        </w:rPr>
      </w:pPr>
      <w:r w:rsidRPr="003A2AFF">
        <w:rPr>
          <w:b/>
          <w:i/>
          <w:noProof/>
          <w:u w:val="single"/>
        </w:rPr>
        <w:t>Etică/ morală:</w:t>
      </w:r>
    </w:p>
    <w:p w:rsidR="00C97722" w:rsidRPr="00955920" w:rsidRDefault="00C97722" w:rsidP="003808CC">
      <w:pPr>
        <w:pStyle w:val="ListParagraph"/>
        <w:numPr>
          <w:ilvl w:val="0"/>
          <w:numId w:val="4"/>
        </w:numPr>
        <w:ind w:left="867" w:hanging="357"/>
      </w:pPr>
      <w:r w:rsidRPr="00955920">
        <w:t xml:space="preserve">lipsa de </w:t>
      </w:r>
      <w:r w:rsidRPr="003A2AFF">
        <w:rPr>
          <w:b/>
        </w:rPr>
        <w:t>interes</w:t>
      </w:r>
      <w:r w:rsidRPr="00955920">
        <w:t xml:space="preserve"> a marilor retaileri, a procesatorilor, a producătorului de produse alimentare (fie de origine animală, fie de origine non-animală) cu privire la efectele risipei de alimente la nivel economic, social şi asupra mediului;</w:t>
      </w:r>
    </w:p>
    <w:p w:rsidR="00C97722" w:rsidRPr="00955920" w:rsidRDefault="00C97722" w:rsidP="003808CC">
      <w:pPr>
        <w:pStyle w:val="ListParagraph"/>
        <w:numPr>
          <w:ilvl w:val="0"/>
          <w:numId w:val="4"/>
        </w:numPr>
        <w:ind w:left="867" w:hanging="357"/>
      </w:pPr>
      <w:r w:rsidRPr="00955920">
        <w:t xml:space="preserve">lipsa de </w:t>
      </w:r>
      <w:r w:rsidRPr="003A2AFF">
        <w:rPr>
          <w:b/>
        </w:rPr>
        <w:t>încredere</w:t>
      </w:r>
      <w:r w:rsidRPr="00955920">
        <w:t xml:space="preserve"> acordată celor care preiau surplusul alimentar (în ce scop sunt folosite mai departe produsele, există siguranţa că nu vor reprezenta un risc pentru populaţie etc.);</w:t>
      </w:r>
    </w:p>
    <w:p w:rsidR="00C97722" w:rsidRDefault="00C97722" w:rsidP="003808CC">
      <w:pPr>
        <w:pStyle w:val="ListParagraph"/>
        <w:numPr>
          <w:ilvl w:val="0"/>
          <w:numId w:val="4"/>
        </w:numPr>
        <w:ind w:left="867" w:hanging="357"/>
      </w:pPr>
      <w:r>
        <w:t xml:space="preserve">lipsa de </w:t>
      </w:r>
      <w:r w:rsidRPr="003A2AFF">
        <w:rPr>
          <w:b/>
        </w:rPr>
        <w:t>interes/ informare</w:t>
      </w:r>
      <w:r>
        <w:t xml:space="preserve"> a consumatorilor cu privire la efectele risipei de alimente la nivel economic, social şi asupra mediului.</w:t>
      </w:r>
    </w:p>
    <w:p w:rsidR="00C97722" w:rsidRDefault="00C97722" w:rsidP="00C97722">
      <w:pPr>
        <w:ind w:left="360"/>
      </w:pPr>
    </w:p>
    <w:p w:rsidR="00C97722" w:rsidRPr="003A2AFF" w:rsidRDefault="00C97722" w:rsidP="003808CC">
      <w:pPr>
        <w:pStyle w:val="ListParagraph"/>
        <w:numPr>
          <w:ilvl w:val="0"/>
          <w:numId w:val="2"/>
        </w:numPr>
        <w:rPr>
          <w:b/>
          <w:i/>
          <w:noProof/>
          <w:u w:val="single"/>
        </w:rPr>
      </w:pPr>
      <w:r w:rsidRPr="003A2AFF">
        <w:rPr>
          <w:b/>
          <w:i/>
          <w:noProof/>
          <w:u w:val="single"/>
        </w:rPr>
        <w:lastRenderedPageBreak/>
        <w:t>De comunicare/ diseminare a informaţiilor:</w:t>
      </w:r>
    </w:p>
    <w:p w:rsidR="00C97722" w:rsidRPr="00D03511" w:rsidRDefault="00C97722" w:rsidP="003808CC">
      <w:pPr>
        <w:pStyle w:val="ListParagraph"/>
        <w:numPr>
          <w:ilvl w:val="0"/>
          <w:numId w:val="4"/>
        </w:numPr>
        <w:ind w:left="867" w:hanging="357"/>
      </w:pPr>
      <w:r w:rsidRPr="00D03511">
        <w:t xml:space="preserve">lipsa </w:t>
      </w:r>
      <w:r w:rsidRPr="003A2AFF">
        <w:rPr>
          <w:b/>
        </w:rPr>
        <w:t>comunicărilor media, online</w:t>
      </w:r>
      <w:r>
        <w:t xml:space="preserve"> cu privire la subiectul risipei de alimente</w:t>
      </w:r>
      <w:r w:rsidRPr="00D03511">
        <w:t>;</w:t>
      </w:r>
    </w:p>
    <w:p w:rsidR="00C97722" w:rsidRDefault="00C97722" w:rsidP="003808CC">
      <w:pPr>
        <w:pStyle w:val="ListParagraph"/>
        <w:numPr>
          <w:ilvl w:val="0"/>
          <w:numId w:val="4"/>
        </w:numPr>
        <w:ind w:left="867" w:hanging="357"/>
      </w:pPr>
      <w:r w:rsidRPr="00D03511">
        <w:t xml:space="preserve">lipsa de </w:t>
      </w:r>
      <w:r w:rsidRPr="003A2AFF">
        <w:rPr>
          <w:b/>
        </w:rPr>
        <w:t>interes/ de informare/ promovare</w:t>
      </w:r>
      <w:r>
        <w:t xml:space="preserve"> cu privire la</w:t>
      </w:r>
      <w:r w:rsidRPr="00890101">
        <w:t xml:space="preserve"> entităţile </w:t>
      </w:r>
      <w:r>
        <w:t>(</w:t>
      </w:r>
      <w:r w:rsidRPr="00D03511">
        <w:t>centre de valorificare</w:t>
      </w:r>
      <w:r>
        <w:t xml:space="preserve">, ONG-uri, firme de reciclare </w:t>
      </w:r>
      <w:r w:rsidRPr="00D03511">
        <w:t>a surplusului alimentar</w:t>
      </w:r>
      <w:r>
        <w:t xml:space="preserve"> etc.) </w:t>
      </w:r>
      <w:r w:rsidRPr="00890101">
        <w:t>care achiziţionează/ utilizează/ comercializează surplusul alimentar</w:t>
      </w:r>
      <w:r>
        <w:t>,</w:t>
      </w:r>
      <w:r w:rsidRPr="00890101">
        <w:t xml:space="preserve"> </w:t>
      </w:r>
      <w:r w:rsidRPr="00D03511">
        <w:t>precum si accesibilitatea acestora;</w:t>
      </w:r>
    </w:p>
    <w:p w:rsidR="00C97722" w:rsidRPr="00D03511" w:rsidRDefault="00C97722" w:rsidP="003808CC">
      <w:pPr>
        <w:pStyle w:val="ListParagraph"/>
        <w:numPr>
          <w:ilvl w:val="0"/>
          <w:numId w:val="4"/>
        </w:numPr>
        <w:ind w:left="867" w:hanging="357"/>
      </w:pPr>
      <w:r w:rsidRPr="00D03511">
        <w:t xml:space="preserve">lipsa </w:t>
      </w:r>
      <w:r w:rsidRPr="003A2AFF">
        <w:rPr>
          <w:b/>
        </w:rPr>
        <w:t>comunicării între principalii stakeholderi</w:t>
      </w:r>
      <w:r w:rsidRPr="00D03511">
        <w:t xml:space="preserve"> (producători, procesatori, retaileri, ong-uri, centre sociale, firmede reciclare etc.).</w:t>
      </w:r>
    </w:p>
    <w:p w:rsidR="001B195B" w:rsidRPr="00DC05C7" w:rsidRDefault="001B195B" w:rsidP="001B195B">
      <w:pPr>
        <w:rPr>
          <w:lang w:val="fr-FR"/>
        </w:rPr>
      </w:pPr>
      <w:r w:rsidRPr="00DC05C7">
        <w:rPr>
          <w:lang w:val="fr-FR"/>
        </w:rPr>
        <w:t xml:space="preserve">Principalele </w:t>
      </w:r>
      <w:r w:rsidRPr="00DC05C7">
        <w:rPr>
          <w:b/>
          <w:lang w:val="fr-FR"/>
        </w:rPr>
        <w:t>limitări</w:t>
      </w:r>
      <w:r w:rsidRPr="00DC05C7">
        <w:rPr>
          <w:lang w:val="fr-FR"/>
        </w:rPr>
        <w:t xml:space="preserve"> identificate la nivelul întregului procesul de realizare al studiului, au fost următoarele:</w:t>
      </w:r>
    </w:p>
    <w:p w:rsidR="001B195B" w:rsidRDefault="001B195B" w:rsidP="001B195B">
      <w:pPr>
        <w:pStyle w:val="ListParagraph"/>
        <w:numPr>
          <w:ilvl w:val="0"/>
          <w:numId w:val="17"/>
        </w:numPr>
        <w:rPr>
          <w:lang w:val="en-US"/>
        </w:rPr>
      </w:pPr>
      <w:proofErr w:type="spellStart"/>
      <w:r w:rsidRPr="00984E87">
        <w:rPr>
          <w:lang w:val="en-US"/>
        </w:rPr>
        <w:t>Lipsa</w:t>
      </w:r>
      <w:proofErr w:type="spellEnd"/>
      <w:r w:rsidRPr="00984E87">
        <w:rPr>
          <w:lang w:val="en-US"/>
        </w:rPr>
        <w:t xml:space="preserve"> </w:t>
      </w:r>
      <w:proofErr w:type="spellStart"/>
      <w:r w:rsidRPr="00984E87">
        <w:rPr>
          <w:lang w:val="en-US"/>
        </w:rPr>
        <w:t>informaţiilor</w:t>
      </w:r>
      <w:proofErr w:type="spellEnd"/>
      <w:r w:rsidRPr="00984E87">
        <w:rPr>
          <w:lang w:val="en-US"/>
        </w:rPr>
        <w:t xml:space="preserve">/ </w:t>
      </w:r>
      <w:proofErr w:type="spellStart"/>
      <w:r w:rsidRPr="00984E87">
        <w:rPr>
          <w:lang w:val="en-US"/>
        </w:rPr>
        <w:t>datelor</w:t>
      </w:r>
      <w:proofErr w:type="spellEnd"/>
      <w:r w:rsidRPr="00984E87">
        <w:rPr>
          <w:lang w:val="en-US"/>
        </w:rPr>
        <w:t xml:space="preserve"> </w:t>
      </w:r>
      <w:proofErr w:type="spellStart"/>
      <w:r w:rsidRPr="00984E87">
        <w:rPr>
          <w:lang w:val="en-US"/>
        </w:rPr>
        <w:t>statistice</w:t>
      </w:r>
      <w:proofErr w:type="spellEnd"/>
      <w:r w:rsidRPr="00984E87">
        <w:rPr>
          <w:lang w:val="en-US"/>
        </w:rPr>
        <w:t xml:space="preserve">, la </w:t>
      </w:r>
      <w:proofErr w:type="spellStart"/>
      <w:r w:rsidRPr="00984E87">
        <w:rPr>
          <w:lang w:val="en-US"/>
        </w:rPr>
        <w:t>nivel</w:t>
      </w:r>
      <w:proofErr w:type="spellEnd"/>
      <w:r w:rsidRPr="00984E87">
        <w:rPr>
          <w:lang w:val="en-US"/>
        </w:rPr>
        <w:t xml:space="preserve"> </w:t>
      </w:r>
      <w:proofErr w:type="spellStart"/>
      <w:r w:rsidRPr="00984E87">
        <w:rPr>
          <w:lang w:val="en-US"/>
        </w:rPr>
        <w:t>na</w:t>
      </w:r>
      <w:r>
        <w:rPr>
          <w:lang w:val="en-US"/>
        </w:rPr>
        <w:t>ţ</w:t>
      </w:r>
      <w:r w:rsidRPr="00984E87">
        <w:rPr>
          <w:lang w:val="en-US"/>
        </w:rPr>
        <w:t>ional</w:t>
      </w:r>
      <w:proofErr w:type="spellEnd"/>
      <w:r w:rsidRPr="00984E87">
        <w:rPr>
          <w:lang w:val="en-US"/>
        </w:rPr>
        <w:t xml:space="preserve">, </w:t>
      </w:r>
      <w:proofErr w:type="spellStart"/>
      <w:r w:rsidRPr="00984E87">
        <w:rPr>
          <w:lang w:val="en-US"/>
        </w:rPr>
        <w:t>privind</w:t>
      </w:r>
      <w:proofErr w:type="spellEnd"/>
      <w:r w:rsidRPr="00984E87">
        <w:rPr>
          <w:lang w:val="en-US"/>
        </w:rPr>
        <w:t xml:space="preserve"> </w:t>
      </w:r>
      <w:proofErr w:type="spellStart"/>
      <w:r w:rsidRPr="00984E87">
        <w:rPr>
          <w:lang w:val="en-US"/>
        </w:rPr>
        <w:t>nivelul</w:t>
      </w:r>
      <w:proofErr w:type="spellEnd"/>
      <w:r w:rsidRPr="00984E87">
        <w:rPr>
          <w:lang w:val="en-US"/>
        </w:rPr>
        <w:t xml:space="preserve"> </w:t>
      </w:r>
      <w:proofErr w:type="spellStart"/>
      <w:r w:rsidRPr="00984E87">
        <w:rPr>
          <w:lang w:val="en-US"/>
        </w:rPr>
        <w:t>risipei</w:t>
      </w:r>
      <w:proofErr w:type="spellEnd"/>
      <w:r w:rsidRPr="00984E87">
        <w:rPr>
          <w:lang w:val="en-US"/>
        </w:rPr>
        <w:t xml:space="preserve"> de </w:t>
      </w:r>
      <w:proofErr w:type="spellStart"/>
      <w:r w:rsidRPr="00984E87">
        <w:rPr>
          <w:lang w:val="en-US"/>
        </w:rPr>
        <w:t>hrană</w:t>
      </w:r>
      <w:proofErr w:type="spellEnd"/>
      <w:r w:rsidRPr="00984E87">
        <w:rPr>
          <w:lang w:val="en-US"/>
        </w:rPr>
        <w:t xml:space="preserve"> </w:t>
      </w:r>
      <w:proofErr w:type="spellStart"/>
      <w:r w:rsidRPr="00984E87">
        <w:rPr>
          <w:lang w:val="en-US"/>
        </w:rPr>
        <w:t>în</w:t>
      </w:r>
      <w:proofErr w:type="spellEnd"/>
      <w:r w:rsidRPr="00984E87">
        <w:rPr>
          <w:lang w:val="en-US"/>
        </w:rPr>
        <w:t xml:space="preserve"> </w:t>
      </w:r>
      <w:proofErr w:type="spellStart"/>
      <w:r w:rsidRPr="00984E87">
        <w:rPr>
          <w:lang w:val="en-US"/>
        </w:rPr>
        <w:t>România</w:t>
      </w:r>
      <w:proofErr w:type="spellEnd"/>
      <w:r w:rsidRPr="00984E87">
        <w:rPr>
          <w:lang w:val="en-US"/>
        </w:rPr>
        <w:t>;</w:t>
      </w:r>
    </w:p>
    <w:p w:rsidR="001B195B" w:rsidRPr="00DC05C7" w:rsidRDefault="001B195B" w:rsidP="001B195B">
      <w:pPr>
        <w:pStyle w:val="ListParagraph"/>
        <w:numPr>
          <w:ilvl w:val="0"/>
          <w:numId w:val="17"/>
        </w:numPr>
        <w:rPr>
          <w:lang w:val="fr-FR"/>
        </w:rPr>
      </w:pPr>
      <w:r w:rsidRPr="00DC05C7">
        <w:rPr>
          <w:lang w:val="fr-FR"/>
        </w:rPr>
        <w:t xml:space="preserve">Nivelul redus de transparenţă </w:t>
      </w:r>
      <w:r w:rsidRPr="00DC05C7">
        <w:rPr>
          <w:rFonts w:cs="Garamond"/>
          <w:lang w:val="fr-FR"/>
        </w:rPr>
        <w:t>î</w:t>
      </w:r>
      <w:r w:rsidRPr="00DC05C7">
        <w:rPr>
          <w:lang w:val="fr-FR"/>
        </w:rPr>
        <w:t>n toate sectoarele, precum şi slaba implicare a reprezentanţilor anumitor sectoare relevante (în principal HoReCa, dar şi producători/ procesatori şi retaileri) vis-à-vis de informaţii cu privire la cantităţi de alimente produse/ importate, cantităţi tranzacţionate prin marile reţele comerciale, cantităţi predate către/ preluate de companii autorizate în preluarea şi prelucrarea/ neutralizarea alimentelor expirate, cantităţi de alimente pe cale de expirare sau expirate valorificate prin păstrarea în circuitul consumului uman, preluarea în circuitul consumului animal sau în vederea producerii de compost, fertilizator sau biocombustibil etc.;</w:t>
      </w:r>
    </w:p>
    <w:p w:rsidR="001B195B" w:rsidRPr="00DC05C7" w:rsidRDefault="001B195B" w:rsidP="001B195B">
      <w:pPr>
        <w:pStyle w:val="ListParagraph"/>
        <w:numPr>
          <w:ilvl w:val="0"/>
          <w:numId w:val="17"/>
        </w:numPr>
        <w:rPr>
          <w:lang w:val="fr-FR"/>
        </w:rPr>
      </w:pPr>
      <w:r w:rsidRPr="00DC05C7">
        <w:rPr>
          <w:lang w:val="fr-FR"/>
        </w:rPr>
        <w:t>Lipsa unei strategii naţionale privind gestiunea deşeurilor municipale, care să înglobeze în mod diferenţiat (cu posibilitatea valorific</w:t>
      </w:r>
      <w:r w:rsidRPr="00DC05C7">
        <w:rPr>
          <w:rFonts w:cs="Garamond"/>
          <w:lang w:val="fr-FR"/>
        </w:rPr>
        <w:t>ă</w:t>
      </w:r>
      <w:r w:rsidRPr="00DC05C7">
        <w:rPr>
          <w:lang w:val="fr-FR"/>
        </w:rPr>
        <w:t>rii) deşeurile alimentare;</w:t>
      </w:r>
    </w:p>
    <w:p w:rsidR="001B195B" w:rsidRDefault="001B195B" w:rsidP="001B195B">
      <w:pPr>
        <w:pStyle w:val="ListParagraph"/>
        <w:numPr>
          <w:ilvl w:val="0"/>
          <w:numId w:val="17"/>
        </w:numPr>
        <w:rPr>
          <w:lang w:val="en-US"/>
        </w:rPr>
      </w:pPr>
      <w:proofErr w:type="spellStart"/>
      <w:r>
        <w:rPr>
          <w:lang w:val="en-US"/>
        </w:rPr>
        <w:t>Lipsa</w:t>
      </w:r>
      <w:proofErr w:type="spellEnd"/>
      <w:r>
        <w:rPr>
          <w:lang w:val="en-US"/>
        </w:rPr>
        <w:t xml:space="preserve"> </w:t>
      </w:r>
      <w:proofErr w:type="spellStart"/>
      <w:r w:rsidRPr="00B5237E">
        <w:rPr>
          <w:lang w:val="en-US"/>
        </w:rPr>
        <w:t>unei</w:t>
      </w:r>
      <w:proofErr w:type="spellEnd"/>
      <w:r w:rsidRPr="00B5237E">
        <w:rPr>
          <w:lang w:val="en-US"/>
        </w:rPr>
        <w:t xml:space="preserve"> </w:t>
      </w:r>
      <w:proofErr w:type="spellStart"/>
      <w:r w:rsidRPr="00B5237E">
        <w:rPr>
          <w:lang w:val="en-US"/>
        </w:rPr>
        <w:t>strategii</w:t>
      </w:r>
      <w:proofErr w:type="spellEnd"/>
      <w:r w:rsidRPr="00B5237E">
        <w:rPr>
          <w:lang w:val="en-US"/>
        </w:rPr>
        <w:t xml:space="preserve"> </w:t>
      </w:r>
      <w:proofErr w:type="spellStart"/>
      <w:r w:rsidRPr="00B5237E">
        <w:rPr>
          <w:lang w:val="en-US"/>
        </w:rPr>
        <w:t>naţionale</w:t>
      </w:r>
      <w:proofErr w:type="spellEnd"/>
      <w:r w:rsidRPr="00B5237E">
        <w:rPr>
          <w:lang w:val="en-US"/>
        </w:rPr>
        <w:t xml:space="preserve"> </w:t>
      </w:r>
      <w:proofErr w:type="spellStart"/>
      <w:r w:rsidRPr="00B5237E">
        <w:rPr>
          <w:lang w:val="en-US"/>
        </w:rPr>
        <w:t>privind</w:t>
      </w:r>
      <w:proofErr w:type="spellEnd"/>
      <w:r>
        <w:rPr>
          <w:lang w:val="en-US"/>
        </w:rPr>
        <w:t xml:space="preserve"> </w:t>
      </w:r>
      <w:proofErr w:type="spellStart"/>
      <w:r w:rsidRPr="005A56D8">
        <w:rPr>
          <w:lang w:val="en-US"/>
        </w:rPr>
        <w:t>reducerea</w:t>
      </w:r>
      <w:proofErr w:type="spellEnd"/>
      <w:r w:rsidRPr="005A56D8">
        <w:rPr>
          <w:lang w:val="en-US"/>
        </w:rPr>
        <w:t xml:space="preserve"> </w:t>
      </w:r>
      <w:proofErr w:type="spellStart"/>
      <w:r w:rsidRPr="005A56D8">
        <w:rPr>
          <w:lang w:val="en-US"/>
        </w:rPr>
        <w:t>risipei</w:t>
      </w:r>
      <w:proofErr w:type="spellEnd"/>
      <w:r w:rsidRPr="005A56D8">
        <w:rPr>
          <w:lang w:val="en-US"/>
        </w:rPr>
        <w:t xml:space="preserve"> </w:t>
      </w:r>
      <w:proofErr w:type="spellStart"/>
      <w:r w:rsidRPr="005A56D8">
        <w:rPr>
          <w:lang w:val="en-US"/>
        </w:rPr>
        <w:t>alimentare</w:t>
      </w:r>
      <w:proofErr w:type="spellEnd"/>
      <w:r w:rsidRPr="005A56D8">
        <w:rPr>
          <w:lang w:val="en-US"/>
        </w:rPr>
        <w:t xml:space="preserve"> </w:t>
      </w:r>
      <w:proofErr w:type="spellStart"/>
      <w:r w:rsidRPr="005A56D8">
        <w:rPr>
          <w:lang w:val="en-US"/>
        </w:rPr>
        <w:t>şi</w:t>
      </w:r>
      <w:proofErr w:type="spellEnd"/>
      <w:r w:rsidRPr="005A56D8">
        <w:rPr>
          <w:lang w:val="en-US"/>
        </w:rPr>
        <w:t xml:space="preserve"> </w:t>
      </w:r>
      <w:proofErr w:type="spellStart"/>
      <w:r w:rsidRPr="005A56D8">
        <w:rPr>
          <w:lang w:val="en-US"/>
        </w:rPr>
        <w:t>managementul</w:t>
      </w:r>
      <w:proofErr w:type="spellEnd"/>
      <w:r w:rsidRPr="005A56D8">
        <w:rPr>
          <w:lang w:val="en-US"/>
        </w:rPr>
        <w:t xml:space="preserve"> </w:t>
      </w:r>
      <w:proofErr w:type="spellStart"/>
      <w:r w:rsidRPr="005A56D8">
        <w:rPr>
          <w:lang w:val="en-US"/>
        </w:rPr>
        <w:t>deşeurilor</w:t>
      </w:r>
      <w:proofErr w:type="spellEnd"/>
      <w:r w:rsidRPr="005A56D8">
        <w:rPr>
          <w:lang w:val="en-US"/>
        </w:rPr>
        <w:t xml:space="preserve"> </w:t>
      </w:r>
      <w:proofErr w:type="spellStart"/>
      <w:r w:rsidRPr="005A56D8">
        <w:rPr>
          <w:lang w:val="en-US"/>
        </w:rPr>
        <w:t>alimentare</w:t>
      </w:r>
      <w:proofErr w:type="spellEnd"/>
      <w:r>
        <w:rPr>
          <w:lang w:val="en-US"/>
        </w:rPr>
        <w:t>.</w:t>
      </w:r>
    </w:p>
    <w:p w:rsidR="003C28AC" w:rsidRPr="000F79D8" w:rsidRDefault="00C9584F" w:rsidP="000F79D8">
      <w:pPr>
        <w:pStyle w:val="Heading1"/>
      </w:pPr>
      <w:r w:rsidRPr="000F79D8">
        <w:t>Soluţii</w:t>
      </w:r>
      <w:r w:rsidR="003C28AC" w:rsidRPr="000F79D8">
        <w:t xml:space="preserve"> existente</w:t>
      </w:r>
      <w:r w:rsidR="006E2630" w:rsidRPr="000F79D8">
        <w:t xml:space="preserve"> </w:t>
      </w:r>
      <w:r w:rsidR="003C28AC" w:rsidRPr="000F79D8">
        <w:t>în România</w:t>
      </w:r>
      <w:r w:rsidRPr="000F79D8">
        <w:t xml:space="preserve"> şi UE </w:t>
      </w:r>
    </w:p>
    <w:p w:rsidR="003C28AC" w:rsidRDefault="008046D6" w:rsidP="008046D6">
      <w:pPr>
        <w:rPr>
          <w:rFonts w:cs="TimesNewRoman"/>
          <w:b/>
        </w:rPr>
      </w:pPr>
      <w:r>
        <w:rPr>
          <w:rFonts w:cs="TimesNewRoman"/>
        </w:rPr>
        <w:t>În România există câteva excepţii de preluare/ valorificare a surplusului de alimente: programul „</w:t>
      </w:r>
      <w:r w:rsidRPr="008046D6">
        <w:rPr>
          <w:rFonts w:cs="TimesNewRoman"/>
          <w:b/>
        </w:rPr>
        <w:t>Masa Bucuriei</w:t>
      </w:r>
      <w:r>
        <w:rPr>
          <w:rFonts w:cs="TimesNewRoman"/>
        </w:rPr>
        <w:t xml:space="preserve">” şi magazinele sociale </w:t>
      </w:r>
      <w:r w:rsidRPr="008046D6">
        <w:rPr>
          <w:rFonts w:cs="TimesNewRoman"/>
          <w:b/>
        </w:rPr>
        <w:t>Somaro</w:t>
      </w:r>
      <w:r>
        <w:rPr>
          <w:rFonts w:cs="TimesNewRoman"/>
        </w:rPr>
        <w:t>. Câteva detalii despre modul în care acestea funcţionează sunt prezentate în cele ce urmează.</w:t>
      </w:r>
    </w:p>
    <w:p w:rsidR="009C529D" w:rsidRDefault="009C529D" w:rsidP="008046D6">
      <w:r w:rsidRPr="009C529D">
        <w:rPr>
          <w:b/>
        </w:rPr>
        <w:t>Programul „Masa Bucuriei”</w:t>
      </w:r>
      <w:r>
        <w:t xml:space="preserve"> a fost </w:t>
      </w:r>
      <w:r w:rsidRPr="009C529D">
        <w:t xml:space="preserve">fondat în </w:t>
      </w:r>
      <w:r w:rsidRPr="00763F9D">
        <w:rPr>
          <w:b/>
        </w:rPr>
        <w:t>2009</w:t>
      </w:r>
      <w:r>
        <w:t xml:space="preserve"> de către </w:t>
      </w:r>
      <w:r w:rsidRPr="00763F9D">
        <w:rPr>
          <w:b/>
        </w:rPr>
        <w:t>Selgros</w:t>
      </w:r>
      <w:r>
        <w:t xml:space="preserve"> Cash&amp;Carry S.R.L.</w:t>
      </w:r>
      <w:r w:rsidRPr="009C529D">
        <w:t xml:space="preserve"> împreună cu </w:t>
      </w:r>
      <w:r w:rsidRPr="009C529D">
        <w:rPr>
          <w:b/>
        </w:rPr>
        <w:t>Patriarhia Română</w:t>
      </w:r>
      <w:r>
        <w:t>.</w:t>
      </w:r>
      <w:r w:rsidRPr="00617638">
        <w:t xml:space="preserve"> </w:t>
      </w:r>
    </w:p>
    <w:p w:rsidR="009C529D" w:rsidRPr="00F03AF6" w:rsidRDefault="009C529D" w:rsidP="008046D6">
      <w:r>
        <w:t xml:space="preserve">Prin intermediul acestui program </w:t>
      </w:r>
      <w:r w:rsidRPr="009C529D">
        <w:t>se împart alimente în stare perfect</w:t>
      </w:r>
      <w:r>
        <w:t>ă</w:t>
      </w:r>
      <w:r w:rsidRPr="009C529D">
        <w:t xml:space="preserve"> pentru consum, dar care din diferite motive nu mai pot fi valorificate în procesul economic (marfă cu termen de valabilitate redus, ambalaj n</w:t>
      </w:r>
      <w:r>
        <w:t xml:space="preserve">ecorespunzător, supraproducţie etc.), către </w:t>
      </w:r>
      <w:r w:rsidRPr="00805F7C">
        <w:t>oameni</w:t>
      </w:r>
      <w:r>
        <w:t xml:space="preserve"> şi familii</w:t>
      </w:r>
      <w:r w:rsidRPr="00805F7C">
        <w:t xml:space="preserve"> nevoiaşe din România, care din diferite motive au ajuns </w:t>
      </w:r>
      <w:r>
        <w:t>î</w:t>
      </w:r>
      <w:r w:rsidRPr="00805F7C">
        <w:t>n situaţia de a nu avea posibilitatea să-şi asigure pâinea zilnică</w:t>
      </w:r>
      <w:r>
        <w:t>.</w:t>
      </w:r>
      <w:r w:rsidR="00310AE2">
        <w:t xml:space="preserve"> </w:t>
      </w:r>
      <w:r w:rsidR="00310AE2" w:rsidRPr="00617638">
        <w:t>Patriarhia Română</w:t>
      </w:r>
      <w:r w:rsidR="00310AE2">
        <w:t xml:space="preserve"> deţine </w:t>
      </w:r>
      <w:r w:rsidR="00310AE2" w:rsidRPr="00310AE2">
        <w:rPr>
          <w:b/>
        </w:rPr>
        <w:t>capacitatea logistică şi administrativă</w:t>
      </w:r>
      <w:r w:rsidR="00310AE2">
        <w:t xml:space="preserve"> necesară desfăşurării unui astfel de proiect, prin numărul mare de societăţ</w:t>
      </w:r>
      <w:r w:rsidR="008046D6">
        <w:t xml:space="preserve">i/ organizaţii sociale afiliate, </w:t>
      </w:r>
      <w:r w:rsidR="00310AE2">
        <w:t xml:space="preserve">nr. de cantine/ centre sociale </w:t>
      </w:r>
      <w:r w:rsidR="008046D6">
        <w:t xml:space="preserve">şi </w:t>
      </w:r>
      <w:r w:rsidR="00310AE2">
        <w:t>nr. de persoane deservite etc.,</w:t>
      </w:r>
      <w:r w:rsidR="00310AE2" w:rsidRPr="00310AE2">
        <w:t xml:space="preserve"> </w:t>
      </w:r>
      <w:r w:rsidR="00310AE2">
        <w:t>reuşind să gestioneze în timp util produsele alimentare preluate.</w:t>
      </w:r>
      <w:r w:rsidR="00763F9D" w:rsidRPr="00763F9D">
        <w:t xml:space="preserve"> </w:t>
      </w:r>
      <w:r w:rsidR="00763F9D" w:rsidRPr="00617638">
        <w:lastRenderedPageBreak/>
        <w:t>Distribuirea corectă a alimentelor este asigurată de către Patriarhia Română</w:t>
      </w:r>
      <w:r w:rsidR="00763F9D">
        <w:t>,</w:t>
      </w:r>
      <w:r w:rsidR="00763F9D" w:rsidRPr="00617638">
        <w:t xml:space="preserve"> prin </w:t>
      </w:r>
      <w:r w:rsidR="008046D6">
        <w:t xml:space="preserve">cele </w:t>
      </w:r>
      <w:r w:rsidR="00763F9D" w:rsidRPr="00617638">
        <w:t>170 de centre şi cantine social</w:t>
      </w:r>
      <w:r w:rsidR="00763F9D">
        <w:t>e, de la nivelul a 22 de judeţe ale ţării</w:t>
      </w:r>
      <w:r w:rsidR="00763F9D">
        <w:rPr>
          <w:rStyle w:val="FootnoteReference"/>
        </w:rPr>
        <w:footnoteReference w:id="6"/>
      </w:r>
      <w:r w:rsidR="00763F9D">
        <w:t>.</w:t>
      </w:r>
    </w:p>
    <w:p w:rsidR="009C529D" w:rsidRPr="009C529D" w:rsidRDefault="009C529D" w:rsidP="008046D6">
      <w:r w:rsidRPr="009C529D">
        <w:rPr>
          <w:b/>
        </w:rPr>
        <w:t>Principiul de funcţionare</w:t>
      </w:r>
      <w:r w:rsidRPr="009C529D">
        <w:t xml:space="preserve"> este cât se poate de simplu: </w:t>
      </w:r>
      <w:r w:rsidRPr="00DE04DD">
        <w:rPr>
          <w:b/>
        </w:rPr>
        <w:t>cel puţin o dată pe săptămână</w:t>
      </w:r>
      <w:r w:rsidRPr="009C529D">
        <w:t>, reprezentanţii Patriarhiei Române ridică de la magazinele Selgros alimentele donate şi le distribuie mai departe către centrele şi cantinele sociale, în funcţie de necesitate. Donaţiile pot conţine</w:t>
      </w:r>
      <w:r w:rsidRPr="009C529D">
        <w:rPr>
          <w:i/>
        </w:rPr>
        <w:t xml:space="preserve"> </w:t>
      </w:r>
      <w:r w:rsidRPr="00763F9D">
        <w:rPr>
          <w:b/>
        </w:rPr>
        <w:t>orice fel de produse aflate în termen de valabilitate</w:t>
      </w:r>
      <w:r w:rsidRPr="009C529D">
        <w:t>, ca de exemplu: alimente de bază (ulei, zahăr, făină, orez, paste făinoase), brânzeturi, lactate, băuturi nealcoolice, dulciuri</w:t>
      </w:r>
      <w:r>
        <w:t xml:space="preserve"> etc</w:t>
      </w:r>
      <w:r w:rsidRPr="009C529D">
        <w:t>.</w:t>
      </w:r>
    </w:p>
    <w:p w:rsidR="009C529D" w:rsidRPr="009C529D" w:rsidRDefault="009C529D" w:rsidP="008046D6">
      <w:r w:rsidRPr="009C529D">
        <w:rPr>
          <w:b/>
        </w:rPr>
        <w:t>Beneficiarii</w:t>
      </w:r>
      <w:r w:rsidRPr="009C529D">
        <w:t xml:space="preserve"> </w:t>
      </w:r>
      <w:r>
        <w:t>programului</w:t>
      </w:r>
      <w:r w:rsidRPr="009C529D">
        <w:t xml:space="preserve"> </w:t>
      </w:r>
      <w:r>
        <w:t>„</w:t>
      </w:r>
      <w:r w:rsidRPr="009C529D">
        <w:t>Masa Bucuriei</w:t>
      </w:r>
      <w:r>
        <w:t xml:space="preserve">” </w:t>
      </w:r>
      <w:r w:rsidRPr="009C529D">
        <w:t xml:space="preserve">sunt </w:t>
      </w:r>
      <w:r>
        <w:t xml:space="preserve">reprezentaţi de </w:t>
      </w:r>
      <w:r w:rsidRPr="009C529D">
        <w:t>oamenii nevoia</w:t>
      </w:r>
      <w:r>
        <w:t>ş</w:t>
      </w:r>
      <w:r w:rsidRPr="009C529D">
        <w:t>i, care primesc ajutor î</w:t>
      </w:r>
      <w:r>
        <w:t>n centre</w:t>
      </w:r>
      <w:r w:rsidR="008046D6">
        <w:t>le</w:t>
      </w:r>
      <w:r>
        <w:t xml:space="preserve"> administrate</w:t>
      </w:r>
      <w:r w:rsidRPr="009C529D">
        <w:t xml:space="preserve"> de organiza</w:t>
      </w:r>
      <w:r>
        <w:t>ţ</w:t>
      </w:r>
      <w:r w:rsidRPr="009C529D">
        <w:t xml:space="preserve">iile patronate de Patriarhia Română: </w:t>
      </w:r>
      <w:r w:rsidRPr="009C529D">
        <w:rPr>
          <w:i/>
        </w:rPr>
        <w:t>cantine şi trapeze, grădiniţe şi centre pentru copii, cămine pentru bătrâni şi aşezăminte sociale, instituţii de învăţământ, mânăstiri, birouri de asistenţă socială, fundaţii şi asociaţii ale Patriarhiei Române</w:t>
      </w:r>
      <w:r w:rsidRPr="009C529D">
        <w:t xml:space="preserve">. </w:t>
      </w:r>
    </w:p>
    <w:p w:rsidR="009C529D" w:rsidRPr="009C529D" w:rsidRDefault="009C529D" w:rsidP="008046D6">
      <w:r w:rsidRPr="009C529D">
        <w:t xml:space="preserve">Pentru Selgros, </w:t>
      </w:r>
      <w:r>
        <w:t>„</w:t>
      </w:r>
      <w:r w:rsidRPr="009C529D">
        <w:t>Masa Bucuriei</w:t>
      </w:r>
      <w:r>
        <w:t>”</w:t>
      </w:r>
      <w:r w:rsidRPr="009C529D">
        <w:t xml:space="preserve"> reprezintă o </w:t>
      </w:r>
      <w:r w:rsidRPr="00310AE2">
        <w:rPr>
          <w:b/>
        </w:rPr>
        <w:t>exprimare firească a programelor de responsabilitate</w:t>
      </w:r>
      <w:r w:rsidRPr="009C529D">
        <w:t xml:space="preserve"> social</w:t>
      </w:r>
      <w:r w:rsidR="00A151D3">
        <w:t>ă</w:t>
      </w:r>
      <w:r w:rsidRPr="009C529D">
        <w:t xml:space="preserve">, iar magazinele companiei dispun de alimente alimente </w:t>
      </w:r>
      <w:r>
        <w:t>ş</w:t>
      </w:r>
      <w:r w:rsidRPr="009C529D">
        <w:t xml:space="preserve">i produse nealimentare care nu </w:t>
      </w:r>
      <w:r>
        <w:t>mai pot</w:t>
      </w:r>
      <w:r w:rsidRPr="009C529D">
        <w:t xml:space="preserve"> fi folosite în procesul economic</w:t>
      </w:r>
      <w:r>
        <w:t>,</w:t>
      </w:r>
      <w:r w:rsidRPr="009C529D">
        <w:t xml:space="preserve"> </w:t>
      </w:r>
      <w:r>
        <w:t>având</w:t>
      </w:r>
      <w:r w:rsidRPr="009C529D">
        <w:t xml:space="preserve"> astfel posibilitate</w:t>
      </w:r>
      <w:r>
        <w:t>a de a ajuta oamenii</w:t>
      </w:r>
      <w:r w:rsidRPr="009C529D">
        <w:t xml:space="preserve"> aflaţi în nevoie.</w:t>
      </w:r>
    </w:p>
    <w:p w:rsidR="006E2630" w:rsidRPr="009C529D" w:rsidRDefault="009C529D" w:rsidP="008046D6">
      <w:r w:rsidRPr="009C529D">
        <w:t xml:space="preserve">De la demararea </w:t>
      </w:r>
      <w:r>
        <w:t>programului</w:t>
      </w:r>
      <w:r w:rsidRPr="009C529D">
        <w:t xml:space="preserve"> </w:t>
      </w:r>
      <w:r>
        <w:t>şi</w:t>
      </w:r>
      <w:r w:rsidRPr="009C529D">
        <w:t xml:space="preserve"> până acum, noiembrie 2016, </w:t>
      </w:r>
      <w:r w:rsidRPr="009C529D">
        <w:rPr>
          <w:b/>
        </w:rPr>
        <w:t xml:space="preserve">donaţiile Selgros depăşesc </w:t>
      </w:r>
      <w:r w:rsidRPr="009C529D">
        <w:t xml:space="preserve">suma de </w:t>
      </w:r>
      <w:r w:rsidRPr="009C529D">
        <w:rPr>
          <w:b/>
        </w:rPr>
        <w:t>4 milioane de euro</w:t>
      </w:r>
      <w:r w:rsidRPr="009C529D">
        <w:t>.</w:t>
      </w:r>
    </w:p>
    <w:p w:rsidR="002012AA" w:rsidRDefault="00763F9D" w:rsidP="008046D6">
      <w:r w:rsidRPr="00763F9D">
        <w:t xml:space="preserve">Un alt mare retailer </w:t>
      </w:r>
      <w:r>
        <w:t xml:space="preserve">care </w:t>
      </w:r>
      <w:r w:rsidRPr="00763F9D">
        <w:t xml:space="preserve">a aderat recent </w:t>
      </w:r>
      <w:r>
        <w:t>(</w:t>
      </w:r>
      <w:r w:rsidR="008046D6">
        <w:t xml:space="preserve">de </w:t>
      </w:r>
      <w:r w:rsidRPr="009B4ABA">
        <w:t>cca. 9 luni</w:t>
      </w:r>
      <w:r>
        <w:rPr>
          <w:rStyle w:val="FootnoteReference"/>
        </w:rPr>
        <w:footnoteReference w:id="7"/>
      </w:r>
      <w:r>
        <w:t xml:space="preserve">) </w:t>
      </w:r>
      <w:r w:rsidRPr="00763F9D">
        <w:t>la programul „Masa Bucuriei”</w:t>
      </w:r>
      <w:r>
        <w:t xml:space="preserve"> este reprezentat de </w:t>
      </w:r>
      <w:r w:rsidRPr="00763F9D">
        <w:rPr>
          <w:b/>
        </w:rPr>
        <w:t>Carrefour</w:t>
      </w:r>
      <w:r>
        <w:t>,</w:t>
      </w:r>
      <w:r w:rsidRPr="00763F9D">
        <w:t xml:space="preserve"> ca urmare a derulării proiectului-pilot care a avut loc în toamna anului 2015 la nivelul Arhiepiscopiei Bucureştilor. Există magazine Carrefour (supermarketuri, hipermarketuri), unde, în fiecare seară, reprezentanţii programului vin şi colectează surplusul de produse alimentare rămas de-a lungul zilei.</w:t>
      </w:r>
      <w:bookmarkStart w:id="3" w:name="_GoBack"/>
      <w:bookmarkEnd w:id="3"/>
    </w:p>
    <w:p w:rsidR="004375F5" w:rsidRDefault="00DF1040" w:rsidP="00D1174E">
      <w:r w:rsidRPr="00DF1040">
        <w:rPr>
          <w:b/>
        </w:rPr>
        <w:t>Somaro</w:t>
      </w:r>
      <w:r w:rsidRPr="0038694A">
        <w:t xml:space="preserve"> </w:t>
      </w:r>
      <w:r>
        <w:t>este o organizaţie</w:t>
      </w:r>
      <w:r w:rsidRPr="0038694A">
        <w:t xml:space="preserve"> nonprofit</w:t>
      </w:r>
      <w:r w:rsidR="00D527F2">
        <w:t xml:space="preserve">, înfiinţată în </w:t>
      </w:r>
      <w:r w:rsidR="00D527F2" w:rsidRPr="00D527F2">
        <w:rPr>
          <w:b/>
        </w:rPr>
        <w:t>2010</w:t>
      </w:r>
      <w:r w:rsidR="00D527F2">
        <w:t>,</w:t>
      </w:r>
      <w:r w:rsidRPr="0038694A">
        <w:t xml:space="preserve"> care comercializează produse </w:t>
      </w:r>
      <w:r>
        <w:t xml:space="preserve">(alimente şi produse esenţiale de uz casnic) </w:t>
      </w:r>
      <w:r w:rsidRPr="0038694A">
        <w:t>la preţuri simbolice</w:t>
      </w:r>
      <w:r>
        <w:t xml:space="preserve"> (cu reduceri semnificative)</w:t>
      </w:r>
      <w:r w:rsidRPr="0038694A">
        <w:t>, în magazine proprii, persoanelor cu venituri mici.</w:t>
      </w:r>
      <w:r>
        <w:t xml:space="preserve"> </w:t>
      </w:r>
    </w:p>
    <w:p w:rsidR="004375F5" w:rsidRDefault="004375F5" w:rsidP="004375F5">
      <w:r w:rsidRPr="001919B5">
        <w:t xml:space="preserve">Somaro deţine </w:t>
      </w:r>
      <w:r w:rsidRPr="004375F5">
        <w:rPr>
          <w:b/>
        </w:rPr>
        <w:t>două magazine sociale</w:t>
      </w:r>
      <w:r w:rsidRPr="001919B5">
        <w:t xml:space="preserve"> în România: în </w:t>
      </w:r>
      <w:r w:rsidRPr="001919B5">
        <w:rPr>
          <w:b/>
        </w:rPr>
        <w:t>Bucureşti</w:t>
      </w:r>
      <w:r w:rsidRPr="001919B5">
        <w:t xml:space="preserve"> şi </w:t>
      </w:r>
      <w:r w:rsidRPr="001919B5">
        <w:rPr>
          <w:b/>
        </w:rPr>
        <w:t>Sibiu</w:t>
      </w:r>
      <w:r w:rsidRPr="001919B5">
        <w:t>. Iniţial au fost trei, dar magazinul din Satu</w:t>
      </w:r>
      <w:r>
        <w:t>-</w:t>
      </w:r>
      <w:r w:rsidRPr="001919B5">
        <w:t>Mare</w:t>
      </w:r>
      <w:r>
        <w:t>, din păcate,</w:t>
      </w:r>
      <w:r w:rsidRPr="001919B5">
        <w:t xml:space="preserve"> nu mai f</w:t>
      </w:r>
      <w:r>
        <w:t>uncţionează</w:t>
      </w:r>
      <w:r w:rsidR="00FF53B8" w:rsidRPr="00FF53B8">
        <w:t xml:space="preserve"> </w:t>
      </w:r>
      <w:r w:rsidR="00FF53B8">
        <w:t>din februarie 2016</w:t>
      </w:r>
      <w:r>
        <w:t>.</w:t>
      </w:r>
    </w:p>
    <w:p w:rsidR="004375F5" w:rsidRDefault="004375F5" w:rsidP="00D1174E">
      <w:r w:rsidRPr="004375F5">
        <w:rPr>
          <w:b/>
        </w:rPr>
        <w:t>Obiectivul</w:t>
      </w:r>
      <w:r w:rsidRPr="004375F5">
        <w:t xml:space="preserve"> </w:t>
      </w:r>
      <w:r w:rsidRPr="00DF1040">
        <w:rPr>
          <w:b/>
        </w:rPr>
        <w:t>Somaro</w:t>
      </w:r>
      <w:r w:rsidRPr="0038694A">
        <w:t xml:space="preserve"> </w:t>
      </w:r>
      <w:r w:rsidRPr="004375F5">
        <w:t>este acela de a dobândi resursele financiare necesare acoperirii operaţiunilor sale prin vânzarea de produse</w:t>
      </w:r>
      <w:r>
        <w:t>, astfel încât</w:t>
      </w:r>
      <w:r w:rsidRPr="004375F5">
        <w:t xml:space="preserve"> beneficiarii </w:t>
      </w:r>
      <w:r>
        <w:t>să poată</w:t>
      </w:r>
      <w:r w:rsidRPr="004375F5">
        <w:t xml:space="preserve"> </w:t>
      </w:r>
      <w:r>
        <w:t>plăti</w:t>
      </w:r>
      <w:r w:rsidRPr="004375F5">
        <w:t xml:space="preserve"> salariile personalului angajat şi cheltuieli suplimentare minime</w:t>
      </w:r>
      <w:r>
        <w:t>.</w:t>
      </w:r>
    </w:p>
    <w:p w:rsidR="00DF1040" w:rsidRDefault="00DF1040" w:rsidP="00D1174E">
      <w:r w:rsidRPr="00DF1040">
        <w:t xml:space="preserve">Întreaga gamă </w:t>
      </w:r>
      <w:r>
        <w:t xml:space="preserve">de produse </w:t>
      </w:r>
      <w:r w:rsidRPr="00DF1040">
        <w:t xml:space="preserve">oferită în magazinele Somaro include </w:t>
      </w:r>
      <w:r w:rsidRPr="004375F5">
        <w:rPr>
          <w:b/>
        </w:rPr>
        <w:t>produse</w:t>
      </w:r>
      <w:r w:rsidRPr="00DF1040">
        <w:t xml:space="preserve"> </w:t>
      </w:r>
      <w:r w:rsidRPr="004375F5">
        <w:rPr>
          <w:b/>
        </w:rPr>
        <w:t>100 % adecvate consumului</w:t>
      </w:r>
      <w:r>
        <w:t>,</w:t>
      </w:r>
      <w:r w:rsidRPr="00DF1040">
        <w:t xml:space="preserve"> dar care nu</w:t>
      </w:r>
      <w:r>
        <w:t xml:space="preserve"> mai</w:t>
      </w:r>
      <w:r w:rsidRPr="00DF1040">
        <w:t xml:space="preserve"> pot fi comercializate în alte magazine din cauza ambalajului deteriorat sau murdar, deoarece le expiră în curând termenul de valabilitate sau din alte motive. </w:t>
      </w:r>
      <w:r>
        <w:t>P</w:t>
      </w:r>
      <w:r w:rsidRPr="0038694A">
        <w:t>roduse</w:t>
      </w:r>
      <w:r>
        <w:t>le</w:t>
      </w:r>
      <w:r w:rsidRPr="0038694A">
        <w:t xml:space="preserve"> sunt donate de </w:t>
      </w:r>
      <w:r>
        <w:t xml:space="preserve">diverşi </w:t>
      </w:r>
      <w:r w:rsidRPr="0038694A">
        <w:t>distribuitori, producători</w:t>
      </w:r>
      <w:r w:rsidR="004375F5">
        <w:t>, supermarketuri</w:t>
      </w:r>
      <w:r w:rsidRPr="0038694A">
        <w:t xml:space="preserve"> sau angrosişti</w:t>
      </w:r>
      <w:r>
        <w:t xml:space="preserve">, cu care aceştia au încheiate </w:t>
      </w:r>
      <w:r w:rsidRPr="004375F5">
        <w:rPr>
          <w:b/>
        </w:rPr>
        <w:t>contracte de sponsorizare</w:t>
      </w:r>
      <w:r w:rsidR="003B4146">
        <w:t>.</w:t>
      </w:r>
    </w:p>
    <w:p w:rsidR="004375F5" w:rsidRPr="00DE04DD" w:rsidRDefault="00DE04DD" w:rsidP="00DE04DD">
      <w:r>
        <w:t>Magazinele sociale Somaro primesc donaţii de la aproximativ 23 de companii din domeniul alimentar</w:t>
      </w:r>
      <w:r w:rsidRPr="00FF53B8">
        <w:t>,</w:t>
      </w:r>
      <w:r w:rsidR="00FF53B8">
        <w:t xml:space="preserve"> </w:t>
      </w:r>
      <w:r>
        <w:t>p</w:t>
      </w:r>
      <w:r w:rsidR="004375F5">
        <w:t xml:space="preserve">rintre principalii </w:t>
      </w:r>
      <w:r w:rsidR="004375F5" w:rsidRPr="009F4954">
        <w:rPr>
          <w:b/>
        </w:rPr>
        <w:t>sponsori</w:t>
      </w:r>
      <w:r>
        <w:rPr>
          <w:b/>
        </w:rPr>
        <w:t xml:space="preserve"> </w:t>
      </w:r>
      <w:r w:rsidRPr="00DE04DD">
        <w:t>din sectorul de producţie/ procesare</w:t>
      </w:r>
      <w:r>
        <w:t xml:space="preserve"> numărându-se:</w:t>
      </w:r>
      <w:r w:rsidR="009F4954">
        <w:rPr>
          <w:i/>
        </w:rPr>
        <w:t xml:space="preserve"> </w:t>
      </w:r>
      <w:r w:rsidRPr="00DE04DD">
        <w:rPr>
          <w:i/>
        </w:rPr>
        <w:lastRenderedPageBreak/>
        <w:t>Convenience</w:t>
      </w:r>
      <w:r>
        <w:t xml:space="preserve">, </w:t>
      </w:r>
      <w:r>
        <w:rPr>
          <w:i/>
        </w:rPr>
        <w:t>Elgeka Ferfelis</w:t>
      </w:r>
      <w:r>
        <w:rPr>
          <w:b/>
        </w:rPr>
        <w:t xml:space="preserve"> </w:t>
      </w:r>
      <w:r w:rsidRPr="00DE04DD">
        <w:t>şi</w:t>
      </w:r>
      <w:r>
        <w:rPr>
          <w:b/>
        </w:rPr>
        <w:t xml:space="preserve"> </w:t>
      </w:r>
      <w:r w:rsidRPr="00DE04DD">
        <w:rPr>
          <w:i/>
        </w:rPr>
        <w:t>Bătrânu’ Sas</w:t>
      </w:r>
      <w:r w:rsidRPr="00DE04DD">
        <w:t>,  colabor</w:t>
      </w:r>
      <w:r>
        <w:t>ă</w:t>
      </w:r>
      <w:r w:rsidRPr="00DE04DD">
        <w:t>ri care durează de cca. 3 ani.</w:t>
      </w:r>
      <w:r>
        <w:t xml:space="preserve"> Printre principalele tipuri de alimente donate se numără: </w:t>
      </w:r>
      <w:r w:rsidRPr="00DE04DD">
        <w:rPr>
          <w:i/>
        </w:rPr>
        <w:t xml:space="preserve">produse de panificaţie, lactate, brânzeturi, produse conservate </w:t>
      </w:r>
      <w:r>
        <w:t xml:space="preserve">etc., iar </w:t>
      </w:r>
      <w:r w:rsidRPr="00DE04DD">
        <w:rPr>
          <w:b/>
        </w:rPr>
        <w:t>intervalul de timp</w:t>
      </w:r>
      <w:r>
        <w:t xml:space="preserve"> la care au loc aceste preluări este, de regulă</w:t>
      </w:r>
      <w:r w:rsidR="006E5B0D">
        <w:t>,</w:t>
      </w:r>
      <w:r>
        <w:t xml:space="preserve"> de </w:t>
      </w:r>
      <w:r w:rsidRPr="00DE04DD">
        <w:t>1 livrare</w:t>
      </w:r>
      <w:r>
        <w:t xml:space="preserve"> la</w:t>
      </w:r>
      <w:r w:rsidRPr="00DE04DD">
        <w:t xml:space="preserve"> 2 săptămâni</w:t>
      </w:r>
      <w:r>
        <w:t>.</w:t>
      </w:r>
    </w:p>
    <w:p w:rsidR="00412A32" w:rsidRPr="001919B5" w:rsidRDefault="001919B5" w:rsidP="00D1174E">
      <w:r w:rsidRPr="001919B5">
        <w:t>În ceea ce priveşte marile reţele comerciale, există o colaborare</w:t>
      </w:r>
      <w:r w:rsidR="00412A32" w:rsidRPr="001919B5">
        <w:t xml:space="preserve"> cu </w:t>
      </w:r>
      <w:r w:rsidR="00412A32" w:rsidRPr="001919B5">
        <w:rPr>
          <w:b/>
        </w:rPr>
        <w:t>Billa</w:t>
      </w:r>
      <w:r w:rsidRPr="001919B5">
        <w:t>, care</w:t>
      </w:r>
      <w:r w:rsidR="00412A32" w:rsidRPr="001919B5">
        <w:t xml:space="preserve"> a început din 2010, însă din 2013 – 2014, de când aceştia şi-au schimbat politica, primesc foarte puţină marfă şi destul de rar. Practic, pentru magazinul din Bucureşti, </w:t>
      </w:r>
      <w:r w:rsidRPr="001919B5">
        <w:t>reprezentanţii Somaro</w:t>
      </w:r>
      <w:r w:rsidR="00412A32" w:rsidRPr="001919B5">
        <w:t xml:space="preserve"> se duc la depozitul din Ploieşti şi preiau surplusul de alimente, în cazul în care a mai rămas ceva. Mai nou, având în vedere că Billa se află </w:t>
      </w:r>
      <w:r w:rsidRPr="001919B5">
        <w:t xml:space="preserve">acum </w:t>
      </w:r>
      <w:r w:rsidR="00412A32" w:rsidRPr="001919B5">
        <w:t xml:space="preserve">în proces de restructurare, nu se ştie dacă </w:t>
      </w:r>
      <w:r>
        <w:t xml:space="preserve">această </w:t>
      </w:r>
      <w:r w:rsidRPr="001919B5">
        <w:t xml:space="preserve">colaborare </w:t>
      </w:r>
      <w:r w:rsidR="00412A32" w:rsidRPr="001919B5">
        <w:t>va mai continua şi anul viitor.</w:t>
      </w:r>
    </w:p>
    <w:p w:rsidR="00412A32" w:rsidRPr="001919B5" w:rsidRDefault="001919B5" w:rsidP="00D1174E">
      <w:r w:rsidRPr="001919B5">
        <w:t>C</w:t>
      </w:r>
      <w:r w:rsidR="00412A32" w:rsidRPr="001919B5">
        <w:t xml:space="preserve">olaborarea cu </w:t>
      </w:r>
      <w:r w:rsidR="00412A32" w:rsidRPr="001919B5">
        <w:rPr>
          <w:b/>
        </w:rPr>
        <w:t>Selgros</w:t>
      </w:r>
      <w:r w:rsidR="00412A32" w:rsidRPr="001919B5">
        <w:t xml:space="preserve"> se b</w:t>
      </w:r>
      <w:r w:rsidR="00D527F2">
        <w:t>azează în principal pe produse</w:t>
      </w:r>
      <w:r w:rsidR="00412A32" w:rsidRPr="001919B5">
        <w:t xml:space="preserve"> non-alimentare (preluate de la depozitul din Pantelimon, unde ajung produse non-alimentare de la nivelul magazinelor Selgros din toată ţara), întrucât </w:t>
      </w:r>
      <w:r>
        <w:t>aceştia</w:t>
      </w:r>
      <w:r w:rsidR="00412A32" w:rsidRPr="001919B5">
        <w:t xml:space="preserve"> sunt implicaţi în programul „Masa Bucuriei” cu Patriarhia Română, în baza căruia donează surplusul de produse alimentare către centrele şi cantinele sociale ale acestora.</w:t>
      </w:r>
    </w:p>
    <w:p w:rsidR="00412A32" w:rsidRDefault="00412A32" w:rsidP="00D527F2">
      <w:r w:rsidRPr="001919B5">
        <w:t xml:space="preserve">Cu </w:t>
      </w:r>
      <w:r w:rsidRPr="001919B5">
        <w:rPr>
          <w:b/>
        </w:rPr>
        <w:t>Metro</w:t>
      </w:r>
      <w:r w:rsidR="001919B5" w:rsidRPr="001919B5">
        <w:t>, Somaro a</w:t>
      </w:r>
      <w:r w:rsidRPr="001919B5">
        <w:t xml:space="preserve"> încheiat un contract prin care </w:t>
      </w:r>
      <w:r w:rsidR="00D527F2">
        <w:t>preia</w:t>
      </w:r>
      <w:r w:rsidRPr="00D527F2">
        <w:t xml:space="preserve"> </w:t>
      </w:r>
      <w:r w:rsidRPr="001919B5">
        <w:t>de 2 ori pe lună produse, însă nu e</w:t>
      </w:r>
      <w:r w:rsidR="001919B5">
        <w:t>ste</w:t>
      </w:r>
      <w:r w:rsidRPr="001919B5">
        <w:t xml:space="preserve"> vorba de</w:t>
      </w:r>
      <w:r w:rsidR="001919B5">
        <w:t xml:space="preserve"> valorificarea</w:t>
      </w:r>
      <w:r w:rsidRPr="001919B5">
        <w:t xml:space="preserve"> surplus</w:t>
      </w:r>
      <w:r w:rsidR="001919B5">
        <w:t>ului</w:t>
      </w:r>
      <w:r w:rsidRPr="001919B5">
        <w:t xml:space="preserve"> alimentar</w:t>
      </w:r>
      <w:r w:rsidR="00D527F2">
        <w:t xml:space="preserve"> (produse ce </w:t>
      </w:r>
      <w:r w:rsidR="00D527F2" w:rsidRPr="00DF1040">
        <w:t>nu</w:t>
      </w:r>
      <w:r w:rsidR="00D527F2">
        <w:t xml:space="preserve"> mai</w:t>
      </w:r>
      <w:r w:rsidR="00D527F2" w:rsidRPr="00DF1040">
        <w:t xml:space="preserve"> pot fi comercializate din cauza ambalajului deteriorat sau murdar, deoarece le expiră în curând termenul de valabilitate</w:t>
      </w:r>
      <w:r w:rsidR="00D527F2">
        <w:t xml:space="preserve"> etc.)</w:t>
      </w:r>
      <w:r w:rsidRPr="001919B5">
        <w:t>.</w:t>
      </w:r>
    </w:p>
    <w:p w:rsidR="00412A32" w:rsidRDefault="00D1174E" w:rsidP="00D1174E">
      <w:pPr>
        <w:rPr>
          <w:rFonts w:cs="TimesNewRoman"/>
          <w:highlight w:val="yellow"/>
        </w:rPr>
      </w:pPr>
      <w:r w:rsidRPr="00AF7D73">
        <w:t>Somaro</w:t>
      </w:r>
      <w:r>
        <w:t>, a</w:t>
      </w:r>
      <w:r w:rsidRPr="00AF7D73">
        <w:t xml:space="preserve"> colectat </w:t>
      </w:r>
      <w:r>
        <w:t>ş</w:t>
      </w:r>
      <w:r w:rsidRPr="00AF7D73">
        <w:t>i distribuit</w:t>
      </w:r>
      <w:r>
        <w:t xml:space="preserve"> </w:t>
      </w:r>
      <w:r w:rsidRPr="00AF7D73">
        <w:t>c</w:t>
      </w:r>
      <w:r w:rsidRPr="00AF7D73">
        <w:rPr>
          <w:rFonts w:cs="Garamond"/>
        </w:rPr>
        <w:t>ă</w:t>
      </w:r>
      <w:r w:rsidRPr="00AF7D73">
        <w:t xml:space="preserve">tre oameni cu venituri mici </w:t>
      </w:r>
      <w:r>
        <w:t>ş</w:t>
      </w:r>
      <w:r w:rsidRPr="00AF7D73">
        <w:t xml:space="preserve">i foarte mici </w:t>
      </w:r>
      <w:r w:rsidRPr="00D527F2">
        <w:rPr>
          <w:b/>
        </w:rPr>
        <w:t>peste 100 de tone de alimente</w:t>
      </w:r>
      <w:r w:rsidRPr="00AF7D73">
        <w:t xml:space="preserve"> </w:t>
      </w:r>
      <w:r w:rsidRPr="00AF7D73">
        <w:rPr>
          <w:rFonts w:cs="Garamond"/>
        </w:rPr>
        <w:t>î</w:t>
      </w:r>
      <w:r w:rsidRPr="00AF7D73">
        <w:t>n Rom</w:t>
      </w:r>
      <w:r w:rsidRPr="00AF7D73">
        <w:rPr>
          <w:rFonts w:cs="Garamond"/>
        </w:rPr>
        <w:t>â</w:t>
      </w:r>
      <w:r w:rsidRPr="00AF7D73">
        <w:t>nia</w:t>
      </w:r>
      <w:r>
        <w:t>,</w:t>
      </w:r>
      <w:r w:rsidRPr="00AF7D73">
        <w:t xml:space="preserve"> </w:t>
      </w:r>
      <w:r>
        <w:t>î</w:t>
      </w:r>
      <w:r w:rsidRPr="00AF7D73">
        <w:t>n</w:t>
      </w:r>
      <w:r>
        <w:t xml:space="preserve"> anul</w:t>
      </w:r>
      <w:r w:rsidRPr="00AF7D73">
        <w:t xml:space="preserve"> </w:t>
      </w:r>
      <w:r w:rsidRPr="00D527F2">
        <w:rPr>
          <w:b/>
        </w:rPr>
        <w:t>2015</w:t>
      </w:r>
      <w:r w:rsidRPr="00AF7D73">
        <w:rPr>
          <w:rStyle w:val="FootnoteReference"/>
        </w:rPr>
        <w:footnoteReference w:id="8"/>
      </w:r>
      <w:r w:rsidRPr="00AF7D73">
        <w:t>.</w:t>
      </w:r>
    </w:p>
    <w:p w:rsidR="00D1174E" w:rsidRDefault="00D1174E">
      <w:pPr>
        <w:spacing w:before="0" w:after="160" w:line="259" w:lineRule="auto"/>
        <w:jc w:val="left"/>
        <w:rPr>
          <w:rFonts w:cs="TimesNewRoman"/>
          <w:highlight w:val="yellow"/>
        </w:rPr>
      </w:pPr>
    </w:p>
    <w:p w:rsidR="00374C40" w:rsidRDefault="00374C40" w:rsidP="00374C40">
      <w:pPr>
        <w:rPr>
          <w:rFonts w:cs="TimesNewRoman"/>
        </w:rPr>
      </w:pPr>
      <w:r w:rsidRPr="00374C40">
        <w:rPr>
          <w:rFonts w:cs="TimesNewRoman"/>
        </w:rPr>
        <w:t xml:space="preserve">Alte </w:t>
      </w:r>
      <w:r w:rsidRPr="00374C40">
        <w:rPr>
          <w:rFonts w:cs="TimesNewRoman"/>
          <w:b/>
        </w:rPr>
        <w:t>exemple</w:t>
      </w:r>
      <w:r>
        <w:rPr>
          <w:rFonts w:cs="TimesNewRoman"/>
        </w:rPr>
        <w:t>,</w:t>
      </w:r>
      <w:r w:rsidRPr="00374C40">
        <w:rPr>
          <w:rFonts w:cs="TimesNewRoman"/>
        </w:rPr>
        <w:t xml:space="preserve"> demne de urmat, de la nivelul statelor </w:t>
      </w:r>
      <w:r w:rsidRPr="00374C40">
        <w:rPr>
          <w:rFonts w:cs="TimesNewRoman"/>
          <w:b/>
        </w:rPr>
        <w:t>europene</w:t>
      </w:r>
      <w:r w:rsidRPr="00374C40">
        <w:rPr>
          <w:rFonts w:cs="TimesNewRoman"/>
        </w:rPr>
        <w:t>:</w:t>
      </w:r>
    </w:p>
    <w:p w:rsidR="00374C40" w:rsidRDefault="00374C40" w:rsidP="00374C40">
      <w:pPr>
        <w:pStyle w:val="ListParagraph"/>
        <w:numPr>
          <w:ilvl w:val="0"/>
          <w:numId w:val="15"/>
        </w:numPr>
      </w:pPr>
      <w:r w:rsidRPr="00374C40">
        <w:rPr>
          <w:b/>
        </w:rPr>
        <w:t>modelul elveţian</w:t>
      </w:r>
      <w:r w:rsidRPr="00A84C5B">
        <w:t>, acela de</w:t>
      </w:r>
      <w:r w:rsidRPr="00374C40">
        <w:rPr>
          <w:b/>
        </w:rPr>
        <w:t xml:space="preserve"> </w:t>
      </w:r>
      <w:r w:rsidRPr="00A84C5B">
        <w:t>redirecţionare a hranei, înainte de momentul expirării, către grupuri dezavantajate, prin intermediul unităţilor alimentare cu caracter social</w:t>
      </w:r>
      <w:r w:rsidRPr="00A84C5B">
        <w:rPr>
          <w:rStyle w:val="FootnoteReference"/>
        </w:rPr>
        <w:footnoteReference w:id="9"/>
      </w:r>
      <w:r>
        <w:t>;</w:t>
      </w:r>
    </w:p>
    <w:p w:rsidR="00374C40" w:rsidRDefault="00374C40" w:rsidP="00374C40">
      <w:pPr>
        <w:pStyle w:val="ListParagraph"/>
        <w:numPr>
          <w:ilvl w:val="0"/>
          <w:numId w:val="15"/>
        </w:numPr>
      </w:pPr>
      <w:r>
        <w:t xml:space="preserve">magazinul </w:t>
      </w:r>
      <w:r w:rsidRPr="00374C40">
        <w:rPr>
          <w:i/>
        </w:rPr>
        <w:t>WeFood</w:t>
      </w:r>
      <w:r>
        <w:t xml:space="preserve">, din Copenhaga, </w:t>
      </w:r>
      <w:r w:rsidRPr="00374C40">
        <w:rPr>
          <w:b/>
        </w:rPr>
        <w:t>Danemarca</w:t>
      </w:r>
      <w:r>
        <w:t>, este primul magazin care preia surplusul de alimente din supermarketuri, cu ajutorul voluntarilor, şi îl vinde atât persoanelor cu venituri mici cât şi consumatorilor</w:t>
      </w:r>
      <w:r w:rsidRPr="00982D9C">
        <w:t xml:space="preserve"> interesa</w:t>
      </w:r>
      <w:r>
        <w:t>ţ</w:t>
      </w:r>
      <w:r w:rsidRPr="00982D9C">
        <w:t>i de cantitatea de m</w:t>
      </w:r>
      <w:r>
        <w:t>â</w:t>
      </w:r>
      <w:r w:rsidRPr="00982D9C">
        <w:t>ncare pe care o arunc</w:t>
      </w:r>
      <w:r>
        <w:t>ă</w:t>
      </w:r>
      <w:r w:rsidRPr="00982D9C">
        <w:t xml:space="preserve"> </w:t>
      </w:r>
      <w:r>
        <w:t>ţ</w:t>
      </w:r>
      <w:r w:rsidRPr="00982D9C">
        <w:t>ara lor</w:t>
      </w:r>
      <w:r>
        <w:t>, cu preţuri cu până la 30 – 50 % mai mici, în încercarea de a reduce cantitatea de mâncare risipită anual. Acesta a încheiat un contract cu una dintre cele mai mari reţele de supermarketu</w:t>
      </w:r>
      <w:r w:rsidR="00A151D3">
        <w:t>r</w:t>
      </w:r>
      <w:r>
        <w:t>i din Danemarca, şi colaborează, de asemenea, cu alţi importatori de citrice, măcelării şi un producător de batoane de cereale bio</w:t>
      </w:r>
      <w:r>
        <w:rPr>
          <w:rStyle w:val="FootnoteReference"/>
        </w:rPr>
        <w:footnoteReference w:id="10"/>
      </w:r>
      <w:r>
        <w:t>.</w:t>
      </w:r>
    </w:p>
    <w:p w:rsidR="00FD6CCC" w:rsidRDefault="00FD6CCC" w:rsidP="00374C40">
      <w:pPr>
        <w:rPr>
          <w:rFonts w:cs="TimesNewRoman"/>
          <w:b/>
        </w:rPr>
      </w:pPr>
    </w:p>
    <w:p w:rsidR="00C9584F" w:rsidRDefault="00C9584F" w:rsidP="000F79D8">
      <w:pPr>
        <w:pStyle w:val="Heading1"/>
      </w:pPr>
      <w:r w:rsidRPr="00791BC1">
        <w:lastRenderedPageBreak/>
        <w:t>Recomandări</w:t>
      </w:r>
    </w:p>
    <w:p w:rsidR="00791BC1" w:rsidRDefault="00791BC1" w:rsidP="00791BC1">
      <w:pPr>
        <w:pStyle w:val="Heading2"/>
        <w:rPr>
          <w:i/>
        </w:rPr>
      </w:pPr>
      <w:r>
        <w:t xml:space="preserve">Recomandări venite ca urmare a realizării </w:t>
      </w:r>
      <w:r w:rsidRPr="00791BC1">
        <w:rPr>
          <w:i/>
        </w:rPr>
        <w:t>Studiului privind risipa de hrană în România, pe lanţul de distribuţie, de la producători şi importatori la consumatorii din mediul urban</w:t>
      </w:r>
    </w:p>
    <w:p w:rsidR="00DB64CD" w:rsidRDefault="00320299" w:rsidP="00DB64CD">
      <w:pPr>
        <w:pStyle w:val="ListParagraph"/>
        <w:numPr>
          <w:ilvl w:val="0"/>
          <w:numId w:val="16"/>
        </w:numPr>
      </w:pPr>
      <w:r>
        <w:t>Elaborarea</w:t>
      </w:r>
      <w:r w:rsidRPr="00320299">
        <w:t xml:space="preserve"> unor </w:t>
      </w:r>
      <w:r w:rsidRPr="00DB64CD">
        <w:rPr>
          <w:b/>
        </w:rPr>
        <w:t>norme metodologice</w:t>
      </w:r>
      <w:r>
        <w:t xml:space="preserve"> </w:t>
      </w:r>
      <w:r w:rsidRPr="00320299">
        <w:t xml:space="preserve">de </w:t>
      </w:r>
      <w:r>
        <w:t>aplicare/ implementare</w:t>
      </w:r>
      <w:r w:rsidRPr="00320299">
        <w:t xml:space="preserve"> a </w:t>
      </w:r>
      <w:r w:rsidRPr="00DB64CD">
        <w:rPr>
          <w:i/>
        </w:rPr>
        <w:t>Legii privind diminuarea risipei alimentare</w:t>
      </w:r>
      <w:r>
        <w:rPr>
          <w:rStyle w:val="FootnoteReference"/>
          <w:i/>
        </w:rPr>
        <w:footnoteReference w:id="11"/>
      </w:r>
      <w:r w:rsidRPr="00320299">
        <w:t xml:space="preserve"> recent aprobate</w:t>
      </w:r>
      <w:r>
        <w:t>,</w:t>
      </w:r>
      <w:r w:rsidRPr="00320299">
        <w:t xml:space="preserve"> </w:t>
      </w:r>
      <w:r w:rsidRPr="00DB64CD">
        <w:rPr>
          <w:b/>
        </w:rPr>
        <w:t>clare</w:t>
      </w:r>
      <w:r>
        <w:t xml:space="preserve"> şi </w:t>
      </w:r>
      <w:r w:rsidRPr="00DB64CD">
        <w:rPr>
          <w:b/>
        </w:rPr>
        <w:t>concise</w:t>
      </w:r>
      <w:r>
        <w:t xml:space="preserve">, precum şi armonizarea prevederilor acesteia </w:t>
      </w:r>
      <w:r w:rsidRPr="00320299">
        <w:t>cu normele Codului fiscal;</w:t>
      </w:r>
    </w:p>
    <w:p w:rsidR="00F56118" w:rsidRDefault="007E43E7" w:rsidP="00F56118">
      <w:pPr>
        <w:pStyle w:val="ListParagraph"/>
        <w:numPr>
          <w:ilvl w:val="0"/>
          <w:numId w:val="16"/>
        </w:numPr>
      </w:pPr>
      <w:r w:rsidRPr="007E43E7">
        <w:t>Introducerea unor</w:t>
      </w:r>
      <w:r>
        <w:rPr>
          <w:b/>
        </w:rPr>
        <w:t xml:space="preserve"> măsuri de încurajare fiscală</w:t>
      </w:r>
      <w:r w:rsidR="00F56118">
        <w:t xml:space="preserve"> </w:t>
      </w:r>
      <w:r w:rsidRPr="00890101">
        <w:t>care să susţină donarea</w:t>
      </w:r>
      <w:r w:rsidR="00F56118" w:rsidRPr="00890101">
        <w:t>;</w:t>
      </w:r>
    </w:p>
    <w:p w:rsidR="006B0435" w:rsidRPr="00890101" w:rsidRDefault="006B0435" w:rsidP="00F56118">
      <w:pPr>
        <w:pStyle w:val="ListParagraph"/>
        <w:numPr>
          <w:ilvl w:val="0"/>
          <w:numId w:val="16"/>
        </w:numPr>
      </w:pPr>
      <w:r w:rsidRPr="006B0435">
        <w:rPr>
          <w:b/>
          <w:caps/>
          <w:noProof/>
        </w:rPr>
        <w:t>R</w:t>
      </w:r>
      <w:r w:rsidRPr="006B0435">
        <w:rPr>
          <w:b/>
          <w:noProof/>
        </w:rPr>
        <w:t>evizuirea strategiilor de marketing</w:t>
      </w:r>
      <w:r>
        <w:rPr>
          <w:noProof/>
        </w:rPr>
        <w:t xml:space="preserve"> (pentru a nu mai instiga consumatorul să cumpere mai mult decât are nevoie, şi mai ales, să achiziţioneze cantităţi mai mari de produse, cu termen de valabilitate foarte scurt, la preţ redus): vânzarea la vrac, produse porţionate în funcţie de membrii familiei, promoţii cu specific pe oraşe etc.;</w:t>
      </w:r>
    </w:p>
    <w:p w:rsidR="007E43E7" w:rsidRPr="00DC05C7" w:rsidRDefault="007E43E7" w:rsidP="007E43E7">
      <w:pPr>
        <w:pStyle w:val="ListParagraph"/>
        <w:numPr>
          <w:ilvl w:val="0"/>
          <w:numId w:val="16"/>
        </w:numPr>
        <w:rPr>
          <w:caps/>
        </w:rPr>
      </w:pPr>
      <w:r w:rsidRPr="00DC05C7">
        <w:t xml:space="preserve">Încurajarea organizaţiilor cu profil social, precum şi a municipalităţilor </w:t>
      </w:r>
      <w:r w:rsidRPr="007E43E7">
        <w:rPr>
          <w:noProof/>
        </w:rPr>
        <w:t>să</w:t>
      </w:r>
      <w:r w:rsidRPr="00DC05C7">
        <w:rPr>
          <w:b/>
        </w:rPr>
        <w:t xml:space="preserve"> înfiinţeze bănci de alimente sau magazine sociale</w:t>
      </w:r>
      <w:r w:rsidRPr="00DC05C7">
        <w:t xml:space="preserve">, permiţându-le </w:t>
      </w:r>
      <w:r w:rsidRPr="00DE3C02">
        <w:rPr>
          <w:noProof/>
        </w:rPr>
        <w:t>să</w:t>
      </w:r>
      <w:r w:rsidRPr="00DC05C7">
        <w:t xml:space="preserve"> îşi acopere costurile de operare (transport, maşini şi depozite frigorifice, condiţiile de igienă şi sănătate publică, analize microbiologice, angajare de personal specializat etc.), precum şi prin</w:t>
      </w:r>
      <w:r w:rsidRPr="00DC05C7">
        <w:rPr>
          <w:b/>
        </w:rPr>
        <w:t xml:space="preserve"> măsuri fiscale care </w:t>
      </w:r>
      <w:r w:rsidRPr="00BF5708">
        <w:rPr>
          <w:b/>
          <w:noProof/>
        </w:rPr>
        <w:t>să</w:t>
      </w:r>
      <w:r w:rsidRPr="00DC05C7">
        <w:rPr>
          <w:b/>
        </w:rPr>
        <w:t xml:space="preserve"> stimuleze extinderea acestor tipuri de activităţi</w:t>
      </w:r>
      <w:r w:rsidRPr="00DC05C7">
        <w:t>;</w:t>
      </w:r>
    </w:p>
    <w:p w:rsidR="003C6E02" w:rsidRPr="007E43E7" w:rsidRDefault="003C6E02" w:rsidP="003C6E02">
      <w:pPr>
        <w:pStyle w:val="ListParagraph"/>
        <w:numPr>
          <w:ilvl w:val="0"/>
          <w:numId w:val="16"/>
        </w:numPr>
      </w:pPr>
      <w:r w:rsidRPr="00DB64CD">
        <w:rPr>
          <w:b/>
        </w:rPr>
        <w:t>Dezvoltarea capacităţii logistice</w:t>
      </w:r>
      <w:r>
        <w:t xml:space="preserve"> a</w:t>
      </w:r>
      <w:r w:rsidRPr="00DB64CD">
        <w:t xml:space="preserve"> sectorului ONG/ business</w:t>
      </w:r>
      <w:r>
        <w:t>-ului</w:t>
      </w:r>
      <w:r w:rsidRPr="00DB64CD">
        <w:t xml:space="preserve"> social de preluare a surplusului, cu respectarea normelor igienico-sanitare în vigoare şi respectarea unor fluxuri constante</w:t>
      </w:r>
      <w:r w:rsidRPr="007E43E7">
        <w:t>;</w:t>
      </w:r>
    </w:p>
    <w:p w:rsidR="00DB64CD" w:rsidRPr="00DB64CD" w:rsidRDefault="00DB64CD" w:rsidP="00DB64CD">
      <w:pPr>
        <w:pStyle w:val="ListParagraph"/>
        <w:numPr>
          <w:ilvl w:val="0"/>
          <w:numId w:val="16"/>
        </w:numPr>
      </w:pPr>
      <w:r w:rsidRPr="00DB64CD">
        <w:rPr>
          <w:b/>
        </w:rPr>
        <w:t xml:space="preserve">Dezvoltarea </w:t>
      </w:r>
      <w:r w:rsidRPr="00DB64CD">
        <w:t xml:space="preserve">unui </w:t>
      </w:r>
      <w:r w:rsidRPr="00DB64CD">
        <w:rPr>
          <w:b/>
        </w:rPr>
        <w:t>sistem naţional</w:t>
      </w:r>
      <w:r w:rsidRPr="00DB64CD">
        <w:t xml:space="preserve"> </w:t>
      </w:r>
      <w:r>
        <w:t xml:space="preserve">cu privire la </w:t>
      </w:r>
      <w:r w:rsidRPr="00DB64CD">
        <w:rPr>
          <w:b/>
        </w:rPr>
        <w:t>colectarea şi preluarea surplusului alimentar/ deşeurilor organice de la nivelul consumatorilor</w:t>
      </w:r>
      <w:r w:rsidRPr="00DB64CD">
        <w:t>, pornind de la legislaţie, la unităţile de colectare/ preluare a surplusului alimentar/ deşeurilor alimentare (</w:t>
      </w:r>
      <w:r>
        <w:t xml:space="preserve">ex.: </w:t>
      </w:r>
      <w:r w:rsidRPr="00DB64CD">
        <w:t>cu posibilitatea colectării direct de la asociaţiile de proprietari etc.);</w:t>
      </w:r>
    </w:p>
    <w:p w:rsidR="00DB64CD" w:rsidRDefault="00DB64CD" w:rsidP="00DB64CD">
      <w:pPr>
        <w:pStyle w:val="ListParagraph"/>
        <w:numPr>
          <w:ilvl w:val="0"/>
          <w:numId w:val="16"/>
        </w:numPr>
      </w:pPr>
      <w:r w:rsidRPr="00DB64CD">
        <w:rPr>
          <w:b/>
        </w:rPr>
        <w:t xml:space="preserve">Dezvoltarea </w:t>
      </w:r>
      <w:r w:rsidRPr="002875BD">
        <w:t xml:space="preserve">unui </w:t>
      </w:r>
      <w:r w:rsidRPr="00C03822">
        <w:rPr>
          <w:b/>
        </w:rPr>
        <w:t>ghid de bune practici</w:t>
      </w:r>
      <w:r w:rsidRPr="002875BD">
        <w:t xml:space="preserve"> întocmit de autorităţi care să permită desfăşurarea activităţilor în parametrii transparenţi şi care să conducă la uniformizarea practicilor din teren;</w:t>
      </w:r>
    </w:p>
    <w:p w:rsidR="007B4154" w:rsidRDefault="007B4154" w:rsidP="007B4154">
      <w:pPr>
        <w:pStyle w:val="ListParagraph"/>
        <w:numPr>
          <w:ilvl w:val="0"/>
          <w:numId w:val="16"/>
        </w:numPr>
      </w:pPr>
      <w:r w:rsidRPr="007B4154">
        <w:rPr>
          <w:b/>
        </w:rPr>
        <w:t>Conştientizarea</w:t>
      </w:r>
      <w:r w:rsidRPr="007B4154">
        <w:t xml:space="preserve"> marilor retaileri, a procesatorilor, a produ</w:t>
      </w:r>
      <w:r>
        <w:t xml:space="preserve">cătorilor de produse alimentare, precum şi a consumatorilor, </w:t>
      </w:r>
      <w:r w:rsidRPr="007B4154">
        <w:t xml:space="preserve">cu privire la efectele </w:t>
      </w:r>
      <w:r>
        <w:t xml:space="preserve">negative ale </w:t>
      </w:r>
      <w:r w:rsidRPr="007B4154">
        <w:t>risipei de alimente la nivel economic, social şi as</w:t>
      </w:r>
      <w:r>
        <w:t>upra mediului;</w:t>
      </w:r>
    </w:p>
    <w:p w:rsidR="007B4154" w:rsidRDefault="00EB3A8D" w:rsidP="007B4154">
      <w:pPr>
        <w:pStyle w:val="ListParagraph"/>
        <w:numPr>
          <w:ilvl w:val="0"/>
          <w:numId w:val="16"/>
        </w:numPr>
      </w:pPr>
      <w:r>
        <w:t>C</w:t>
      </w:r>
      <w:r w:rsidR="007B4154" w:rsidRPr="002875BD">
        <w:t xml:space="preserve">reşterea nivelului de </w:t>
      </w:r>
      <w:r w:rsidR="007B4154" w:rsidRPr="00C7354D">
        <w:rPr>
          <w:b/>
        </w:rPr>
        <w:t>încredere</w:t>
      </w:r>
      <w:r w:rsidR="007B4154" w:rsidRPr="002875BD">
        <w:t xml:space="preserve"> acordat celor care preiau surplusul alimentar, prin metode de comunicare/ diseminare a informaţiilor cu </w:t>
      </w:r>
      <w:r w:rsidR="007B4154">
        <w:t>privire la activitatea acestora;</w:t>
      </w:r>
    </w:p>
    <w:p w:rsidR="00EB3A8D" w:rsidRDefault="00EB3A8D" w:rsidP="00EB3A8D">
      <w:pPr>
        <w:pStyle w:val="ListParagraph"/>
        <w:numPr>
          <w:ilvl w:val="0"/>
          <w:numId w:val="16"/>
        </w:numPr>
      </w:pPr>
      <w:r>
        <w:lastRenderedPageBreak/>
        <w:t>O</w:t>
      </w:r>
      <w:r w:rsidRPr="002875BD">
        <w:t xml:space="preserve">rganizarea unor </w:t>
      </w:r>
      <w:r w:rsidRPr="00C7354D">
        <w:rPr>
          <w:b/>
        </w:rPr>
        <w:t>întâlniri între stakeholderi</w:t>
      </w:r>
      <w:r w:rsidRPr="002875BD">
        <w:t xml:space="preserve"> (producători, procesatori, retaileri, ong-uri, centre sociale, firme de reciclare etc.)</w:t>
      </w:r>
      <w:r>
        <w:t xml:space="preserve"> </w:t>
      </w:r>
      <w:r w:rsidRPr="002875BD">
        <w:t xml:space="preserve">cu scopul de a se cunoaşte şi a încheia </w:t>
      </w:r>
      <w:r w:rsidRPr="00C7354D">
        <w:rPr>
          <w:b/>
        </w:rPr>
        <w:t>colaborări</w:t>
      </w:r>
      <w:r>
        <w:t>;</w:t>
      </w:r>
    </w:p>
    <w:p w:rsidR="00EB3A8D" w:rsidRPr="002875BD" w:rsidRDefault="00EB3A8D" w:rsidP="006B0435">
      <w:pPr>
        <w:pStyle w:val="ListParagraph"/>
        <w:numPr>
          <w:ilvl w:val="0"/>
          <w:numId w:val="16"/>
        </w:numPr>
      </w:pPr>
      <w:r>
        <w:rPr>
          <w:b/>
        </w:rPr>
        <w:t>C</w:t>
      </w:r>
      <w:r w:rsidRPr="00C7354D">
        <w:rPr>
          <w:b/>
        </w:rPr>
        <w:t>ampanii educaţionale</w:t>
      </w:r>
      <w:r w:rsidR="006B0435">
        <w:rPr>
          <w:b/>
        </w:rPr>
        <w:t>,</w:t>
      </w:r>
      <w:r w:rsidR="006B0435" w:rsidRPr="006B0435">
        <w:rPr>
          <w:noProof/>
        </w:rPr>
        <w:t xml:space="preserve"> </w:t>
      </w:r>
      <w:r w:rsidR="006B0435">
        <w:rPr>
          <w:noProof/>
        </w:rPr>
        <w:t>de informare şi conştientizare,</w:t>
      </w:r>
      <w:r w:rsidR="00F56118">
        <w:t xml:space="preserve"> în şcoli, licee, universităţi, cu privire la </w:t>
      </w:r>
      <w:r w:rsidR="00F56118" w:rsidRPr="00CD0C78">
        <w:rPr>
          <w:i/>
        </w:rPr>
        <w:t xml:space="preserve">subiectul risipei alimentare, principalele cauze, </w:t>
      </w:r>
      <w:r w:rsidR="006B0435" w:rsidRPr="00CD0C78">
        <w:rPr>
          <w:i/>
        </w:rPr>
        <w:t xml:space="preserve">interpretarea termenelor privind data durabilităţii minimale a produselor alimentare, </w:t>
      </w:r>
      <w:r w:rsidR="00F56118" w:rsidRPr="00CD0C78">
        <w:rPr>
          <w:i/>
        </w:rPr>
        <w:t>efectele negative la nivel economic, social şi asupra mediului, modalităţi de prevenire a generării surplusului alimentar</w:t>
      </w:r>
      <w:r w:rsidR="00F56118">
        <w:t xml:space="preserve"> etc.</w:t>
      </w:r>
      <w:r w:rsidRPr="002875BD">
        <w:t>;</w:t>
      </w:r>
    </w:p>
    <w:p w:rsidR="00EB3A8D" w:rsidRDefault="00EB3A8D" w:rsidP="00EB3A8D">
      <w:pPr>
        <w:pStyle w:val="ListParagraph"/>
        <w:numPr>
          <w:ilvl w:val="0"/>
          <w:numId w:val="16"/>
        </w:numPr>
      </w:pPr>
      <w:r>
        <w:t>A</w:t>
      </w:r>
      <w:r w:rsidRPr="002875BD">
        <w:t xml:space="preserve">ccesarea unor </w:t>
      </w:r>
      <w:r w:rsidRPr="00C7354D">
        <w:rPr>
          <w:b/>
        </w:rPr>
        <w:t>modele comunitare de succes, instruiri, schimb de experienţă</w:t>
      </w:r>
      <w:r>
        <w:t>.</w:t>
      </w:r>
    </w:p>
    <w:p w:rsidR="00320299" w:rsidRPr="00791BC1" w:rsidRDefault="00320299" w:rsidP="00EB3A8D">
      <w:pPr>
        <w:ind w:left="360"/>
      </w:pPr>
    </w:p>
    <w:p w:rsidR="00791BC1" w:rsidRPr="00791BC1" w:rsidRDefault="00791BC1" w:rsidP="00791BC1">
      <w:pPr>
        <w:pStyle w:val="Heading2"/>
      </w:pPr>
      <w:r>
        <w:t xml:space="preserve">Recomandări bazate pe </w:t>
      </w:r>
      <w:r w:rsidRPr="00791BC1">
        <w:t>cele mai bune practici disponibile, la momentul actual, la nivelul statelor membre UE</w:t>
      </w:r>
    </w:p>
    <w:p w:rsidR="00C16061" w:rsidRDefault="00C16061" w:rsidP="008C68AD">
      <w:r w:rsidRPr="00151906">
        <w:rPr>
          <w:b/>
        </w:rPr>
        <w:t>Practici europene</w:t>
      </w:r>
      <w:r>
        <w:rPr>
          <w:rStyle w:val="FootnoteReference"/>
        </w:rPr>
        <w:footnoteReference w:id="12"/>
      </w:r>
      <w:r w:rsidRPr="00C16061">
        <w:t xml:space="preserve"> de succes/ de urmat</w:t>
      </w:r>
      <w:r>
        <w:t>:</w:t>
      </w:r>
    </w:p>
    <w:p w:rsidR="00795FE7" w:rsidRPr="001A590E" w:rsidRDefault="00795FE7" w:rsidP="00795FE7">
      <w:pPr>
        <w:pStyle w:val="ListParagraph"/>
        <w:numPr>
          <w:ilvl w:val="0"/>
          <w:numId w:val="18"/>
        </w:numPr>
        <w:rPr>
          <w:i/>
          <w:noProof/>
        </w:rPr>
      </w:pPr>
      <w:r w:rsidRPr="00AC0B55">
        <w:rPr>
          <w:i/>
        </w:rPr>
        <w:t xml:space="preserve">Ghid privind interpretarea durabilităţii minime a produselor alimentare pentru băncile alimentare şi organizaţiile de caritate în </w:t>
      </w:r>
      <w:r w:rsidRPr="00795FE7">
        <w:rPr>
          <w:b/>
          <w:i/>
        </w:rPr>
        <w:t>Belgia</w:t>
      </w:r>
      <w:r w:rsidRPr="00AC0B55">
        <w:rPr>
          <w:i/>
          <w:noProof/>
        </w:rPr>
        <w:t xml:space="preserve"> </w:t>
      </w:r>
      <w:r>
        <w:rPr>
          <w:noProof/>
        </w:rPr>
        <w:t>– ghid pentru evaluarea conservării produselor alimentare după ce acestea au atins sau au depăşit termenul de durabilitate minimă;</w:t>
      </w:r>
    </w:p>
    <w:p w:rsidR="00795FE7" w:rsidRPr="00DB3C5B" w:rsidRDefault="00795FE7" w:rsidP="00795FE7">
      <w:pPr>
        <w:pStyle w:val="ListParagraph"/>
        <w:numPr>
          <w:ilvl w:val="0"/>
          <w:numId w:val="18"/>
        </w:numPr>
        <w:rPr>
          <w:i/>
          <w:noProof/>
        </w:rPr>
      </w:pPr>
      <w:r w:rsidRPr="001A590E">
        <w:rPr>
          <w:i/>
          <w:noProof/>
        </w:rPr>
        <w:t>Interpretarea trasabilită</w:t>
      </w:r>
      <w:r w:rsidRPr="001A590E">
        <w:rPr>
          <w:rFonts w:ascii="Times New Roman" w:hAnsi="Times New Roman" w:cs="Times New Roman"/>
          <w:i/>
          <w:noProof/>
        </w:rPr>
        <w:t>ț</w:t>
      </w:r>
      <w:r w:rsidRPr="001A590E">
        <w:rPr>
          <w:i/>
          <w:noProof/>
        </w:rPr>
        <w:t xml:space="preserve">ii produselor alimentare </w:t>
      </w:r>
      <w:r w:rsidRPr="001A590E">
        <w:rPr>
          <w:rFonts w:cs="Garamond"/>
          <w:i/>
          <w:noProof/>
        </w:rPr>
        <w:t>î</w:t>
      </w:r>
      <w:r w:rsidRPr="001A590E">
        <w:rPr>
          <w:i/>
          <w:noProof/>
        </w:rPr>
        <w:t xml:space="preserve">n </w:t>
      </w:r>
      <w:r w:rsidRPr="00795FE7">
        <w:rPr>
          <w:b/>
          <w:i/>
          <w:noProof/>
        </w:rPr>
        <w:t>Belgia</w:t>
      </w:r>
      <w:r>
        <w:rPr>
          <w:i/>
          <w:noProof/>
        </w:rPr>
        <w:t xml:space="preserve"> </w:t>
      </w:r>
      <w:r>
        <w:rPr>
          <w:noProof/>
        </w:rPr>
        <w:t>– conform căreia lista retailerilor/ producătorilor care au donat produse alimentare poate servi drept dovadă la etapa de intrare a produselor, iar lista băncilor de alimente şi organizaţiilor de caritate poate servi drept dovadă pentru etapa de ieşire a produselor din circuitul alimentar, simplificând astfel sarcinile birocratice pentru procesul de donare a alimentelor;</w:t>
      </w:r>
    </w:p>
    <w:p w:rsidR="00795FE7" w:rsidRPr="00392286" w:rsidRDefault="00795FE7" w:rsidP="00795FE7">
      <w:pPr>
        <w:pStyle w:val="ListParagraph"/>
        <w:numPr>
          <w:ilvl w:val="0"/>
          <w:numId w:val="18"/>
        </w:numPr>
        <w:rPr>
          <w:i/>
          <w:noProof/>
        </w:rPr>
      </w:pPr>
      <w:r>
        <w:rPr>
          <w:i/>
          <w:noProof/>
        </w:rPr>
        <w:t xml:space="preserve">Legea bunului samaritean din </w:t>
      </w:r>
      <w:r w:rsidRPr="00795FE7">
        <w:rPr>
          <w:b/>
          <w:i/>
          <w:noProof/>
        </w:rPr>
        <w:t>Italia</w:t>
      </w:r>
      <w:r>
        <w:rPr>
          <w:i/>
          <w:noProof/>
        </w:rPr>
        <w:t xml:space="preserve"> </w:t>
      </w:r>
      <w:r>
        <w:rPr>
          <w:noProof/>
        </w:rPr>
        <w:t>– identifică banca alimentară ca fiind consumatorul final al produselor donate. Cu alte cuvinte donatorii de alimente nu mai sunt răspunzători în ceea ce priveşte siguranţa alimentelor şi condiţiile de igienă ale produselor alimentare donate, din momentul predării către băncile de alimente, această legislaţie oferind un nivel suplimentar de reasigurare pentru donatorii care stimulează donarea alimentelor, fără a compromite garanţiile necesare;</w:t>
      </w:r>
    </w:p>
    <w:p w:rsidR="00795FE7" w:rsidRPr="005F2A42" w:rsidRDefault="00795FE7" w:rsidP="00795FE7">
      <w:pPr>
        <w:pStyle w:val="ListParagraph"/>
        <w:numPr>
          <w:ilvl w:val="0"/>
          <w:numId w:val="18"/>
        </w:numPr>
        <w:rPr>
          <w:i/>
          <w:noProof/>
        </w:rPr>
      </w:pPr>
      <w:r w:rsidRPr="0058337D">
        <w:rPr>
          <w:i/>
          <w:noProof/>
        </w:rPr>
        <w:t>Interpretarea Directivei privind TVA</w:t>
      </w:r>
      <w:r>
        <w:rPr>
          <w:i/>
          <w:noProof/>
        </w:rPr>
        <w:t>-ul</w:t>
      </w:r>
      <w:r w:rsidRPr="0058337D">
        <w:rPr>
          <w:i/>
          <w:noProof/>
        </w:rPr>
        <w:t xml:space="preserve"> în </w:t>
      </w:r>
      <w:r w:rsidRPr="00795FE7">
        <w:rPr>
          <w:b/>
          <w:i/>
          <w:noProof/>
        </w:rPr>
        <w:t>Belgia</w:t>
      </w:r>
      <w:r>
        <w:rPr>
          <w:i/>
          <w:noProof/>
        </w:rPr>
        <w:t xml:space="preserve"> </w:t>
      </w:r>
      <w:r>
        <w:rPr>
          <w:noProof/>
        </w:rPr>
        <w:t>– este vorba despre o Decizie a Belgiei care clarifică recomandările Comisiei Europene de stabilire a valorii produselor alimentare apropiate de data expirării, foarte scăzute sau chiar la zero, cu scopul de a renunţa la răspunderea TVA pentru produsele donate, interpretare juridică care face tot acest proces mult mai uşor de întreprins şi mult mai transparent în Belgia;</w:t>
      </w:r>
    </w:p>
    <w:p w:rsidR="00795FE7" w:rsidRPr="00123CCC" w:rsidRDefault="00795FE7" w:rsidP="00D7536C">
      <w:pPr>
        <w:pStyle w:val="ListParagraph"/>
        <w:numPr>
          <w:ilvl w:val="0"/>
          <w:numId w:val="18"/>
        </w:numPr>
        <w:rPr>
          <w:i/>
          <w:noProof/>
        </w:rPr>
      </w:pPr>
      <w:r>
        <w:rPr>
          <w:i/>
          <w:noProof/>
        </w:rPr>
        <w:t>S</w:t>
      </w:r>
      <w:r w:rsidRPr="00A579A5">
        <w:rPr>
          <w:i/>
          <w:noProof/>
        </w:rPr>
        <w:t xml:space="preserve">timulente fiscale în </w:t>
      </w:r>
      <w:r w:rsidRPr="00795FE7">
        <w:rPr>
          <w:b/>
          <w:i/>
          <w:noProof/>
        </w:rPr>
        <w:t>Franţa</w:t>
      </w:r>
      <w:r>
        <w:rPr>
          <w:i/>
          <w:noProof/>
        </w:rPr>
        <w:t xml:space="preserve"> </w:t>
      </w:r>
      <w:r>
        <w:rPr>
          <w:noProof/>
        </w:rPr>
        <w:t xml:space="preserve">– </w:t>
      </w:r>
      <w:r w:rsidR="00D7536C">
        <w:rPr>
          <w:noProof/>
        </w:rPr>
        <w:t>d</w:t>
      </w:r>
      <w:r w:rsidRPr="00123CCC">
        <w:rPr>
          <w:noProof/>
        </w:rPr>
        <w:t>onatorii de alimente se calific</w:t>
      </w:r>
      <w:r>
        <w:rPr>
          <w:noProof/>
        </w:rPr>
        <w:t>ă</w:t>
      </w:r>
      <w:r w:rsidRPr="00123CCC">
        <w:rPr>
          <w:noProof/>
        </w:rPr>
        <w:t xml:space="preserve"> pentru un credit fiscal egal cu 60</w:t>
      </w:r>
      <w:r>
        <w:rPr>
          <w:noProof/>
        </w:rPr>
        <w:t xml:space="preserve"> % din valoarea produselor </w:t>
      </w:r>
      <w:r w:rsidRPr="00123CCC">
        <w:rPr>
          <w:noProof/>
        </w:rPr>
        <w:t>alimentar</w:t>
      </w:r>
      <w:r>
        <w:rPr>
          <w:noProof/>
        </w:rPr>
        <w:t>e</w:t>
      </w:r>
      <w:r w:rsidRPr="00123CCC">
        <w:rPr>
          <w:noProof/>
        </w:rPr>
        <w:t xml:space="preserve"> donat</w:t>
      </w:r>
      <w:r>
        <w:rPr>
          <w:noProof/>
        </w:rPr>
        <w:t>e</w:t>
      </w:r>
      <w:r w:rsidR="00D7536C">
        <w:rPr>
          <w:noProof/>
        </w:rPr>
        <w:t xml:space="preserve"> (practic o </w:t>
      </w:r>
      <w:r w:rsidR="00D7536C" w:rsidRPr="00D7536C">
        <w:rPr>
          <w:noProof/>
        </w:rPr>
        <w:t>reducere de impozit egală cu 60</w:t>
      </w:r>
      <w:r w:rsidR="00D7536C">
        <w:rPr>
          <w:noProof/>
        </w:rPr>
        <w:t xml:space="preserve"> </w:t>
      </w:r>
      <w:r w:rsidR="00D7536C" w:rsidRPr="00D7536C">
        <w:rPr>
          <w:noProof/>
        </w:rPr>
        <w:t xml:space="preserve">% </w:t>
      </w:r>
      <w:r w:rsidR="00D7536C" w:rsidRPr="00D7536C">
        <w:rPr>
          <w:noProof/>
        </w:rPr>
        <w:lastRenderedPageBreak/>
        <w:t xml:space="preserve">din valoarea </w:t>
      </w:r>
      <w:r w:rsidR="00D7536C">
        <w:rPr>
          <w:noProof/>
        </w:rPr>
        <w:t>donaţiilor)</w:t>
      </w:r>
      <w:r w:rsidRPr="00123CCC">
        <w:rPr>
          <w:noProof/>
        </w:rPr>
        <w:t>, până la o limită de 0,5</w:t>
      </w:r>
      <w:r>
        <w:rPr>
          <w:noProof/>
        </w:rPr>
        <w:t xml:space="preserve"> </w:t>
      </w:r>
      <w:r w:rsidRPr="00123CCC">
        <w:rPr>
          <w:noProof/>
        </w:rPr>
        <w:t>% din veniturile companiil</w:t>
      </w:r>
      <w:r>
        <w:rPr>
          <w:noProof/>
        </w:rPr>
        <w:t>or supuse impozitului pe profit;</w:t>
      </w:r>
    </w:p>
    <w:p w:rsidR="00795FE7" w:rsidRPr="008F6FDC" w:rsidRDefault="00795FE7" w:rsidP="00795FE7">
      <w:pPr>
        <w:pStyle w:val="ListParagraph"/>
        <w:numPr>
          <w:ilvl w:val="0"/>
          <w:numId w:val="18"/>
        </w:numPr>
        <w:rPr>
          <w:i/>
          <w:noProof/>
        </w:rPr>
      </w:pPr>
      <w:r w:rsidRPr="00353068">
        <w:rPr>
          <w:i/>
          <w:noProof/>
        </w:rPr>
        <w:t>Aplicarea ierarhiei de</w:t>
      </w:r>
      <w:r>
        <w:rPr>
          <w:i/>
          <w:noProof/>
        </w:rPr>
        <w:t>ş</w:t>
      </w:r>
      <w:r w:rsidRPr="00353068">
        <w:rPr>
          <w:i/>
          <w:noProof/>
        </w:rPr>
        <w:t xml:space="preserve">eurilor alimentare </w:t>
      </w:r>
      <w:r w:rsidRPr="00353068">
        <w:rPr>
          <w:rFonts w:cs="Garamond"/>
          <w:i/>
          <w:noProof/>
        </w:rPr>
        <w:t>î</w:t>
      </w:r>
      <w:r w:rsidRPr="00353068">
        <w:rPr>
          <w:i/>
          <w:noProof/>
        </w:rPr>
        <w:t xml:space="preserve">n </w:t>
      </w:r>
      <w:r w:rsidRPr="00151906">
        <w:rPr>
          <w:b/>
          <w:i/>
          <w:noProof/>
        </w:rPr>
        <w:t>Franţa</w:t>
      </w:r>
      <w:r>
        <w:rPr>
          <w:i/>
          <w:noProof/>
        </w:rPr>
        <w:t xml:space="preserve"> </w:t>
      </w:r>
      <w:r>
        <w:rPr>
          <w:noProof/>
        </w:rPr>
        <w:t>– instrumentele fiscale au fost utilizate în aşa scop încât este mult mai scump pentru companii să trimită alimentele care nu mai pot fi puse pe piaţă, către digestia anaerobă decât să le doneze băncilor alimentare, trimiţând astfel semnale financiare adecvate în raport cu ierarhia deşeurilor în UE.</w:t>
      </w:r>
    </w:p>
    <w:p w:rsidR="00151906" w:rsidRDefault="00151906" w:rsidP="00151906">
      <w:pPr>
        <w:ind w:left="360"/>
        <w:rPr>
          <w:b/>
          <w:noProof/>
        </w:rPr>
      </w:pPr>
      <w:r w:rsidRPr="008F6FDC">
        <w:rPr>
          <w:b/>
          <w:noProof/>
        </w:rPr>
        <w:t>Recomandări</w:t>
      </w:r>
      <w:r w:rsidR="006773E3">
        <w:rPr>
          <w:b/>
          <w:noProof/>
        </w:rPr>
        <w:t xml:space="preserve"> UE</w:t>
      </w:r>
      <w:r>
        <w:rPr>
          <w:b/>
          <w:noProof/>
        </w:rPr>
        <w:t>:</w:t>
      </w:r>
    </w:p>
    <w:p w:rsidR="00151906" w:rsidRDefault="00151906" w:rsidP="00151906">
      <w:pPr>
        <w:pStyle w:val="ListParagraph"/>
        <w:numPr>
          <w:ilvl w:val="0"/>
          <w:numId w:val="19"/>
        </w:numPr>
        <w:rPr>
          <w:noProof/>
        </w:rPr>
      </w:pPr>
      <w:r w:rsidRPr="00C912D5">
        <w:rPr>
          <w:b/>
          <w:noProof/>
        </w:rPr>
        <w:t>Ierarhia utilizării produselor alimentare.</w:t>
      </w:r>
      <w:r>
        <w:rPr>
          <w:b/>
          <w:noProof/>
        </w:rPr>
        <w:t xml:space="preserve"> </w:t>
      </w:r>
      <w:r>
        <w:rPr>
          <w:noProof/>
        </w:rPr>
        <w:t>P</w:t>
      </w:r>
      <w:r w:rsidRPr="00E91943">
        <w:rPr>
          <w:noProof/>
        </w:rPr>
        <w:t>ublic</w:t>
      </w:r>
      <w:r>
        <w:rPr>
          <w:noProof/>
        </w:rPr>
        <w:t>area unor</w:t>
      </w:r>
      <w:r w:rsidRPr="00E91943">
        <w:rPr>
          <w:noProof/>
        </w:rPr>
        <w:t xml:space="preserve"> </w:t>
      </w:r>
      <w:r>
        <w:rPr>
          <w:noProof/>
        </w:rPr>
        <w:t>ghiduri</w:t>
      </w:r>
      <w:r w:rsidRPr="00E91943">
        <w:rPr>
          <w:noProof/>
        </w:rPr>
        <w:t xml:space="preserve"> </w:t>
      </w:r>
      <w:r>
        <w:rPr>
          <w:noProof/>
        </w:rPr>
        <w:t xml:space="preserve">din partea UE </w:t>
      </w:r>
      <w:r w:rsidRPr="00E91943">
        <w:rPr>
          <w:noProof/>
        </w:rPr>
        <w:t xml:space="preserve">cu privire la o ierarhie </w:t>
      </w:r>
      <w:r>
        <w:rPr>
          <w:noProof/>
        </w:rPr>
        <w:t xml:space="preserve">a </w:t>
      </w:r>
      <w:r w:rsidRPr="00E91943">
        <w:rPr>
          <w:noProof/>
        </w:rPr>
        <w:t>utiliz</w:t>
      </w:r>
      <w:r>
        <w:rPr>
          <w:noProof/>
        </w:rPr>
        <w:t xml:space="preserve">ării </w:t>
      </w:r>
      <w:r w:rsidRPr="00E91943">
        <w:rPr>
          <w:noProof/>
        </w:rPr>
        <w:t>aliment</w:t>
      </w:r>
      <w:r>
        <w:rPr>
          <w:noProof/>
        </w:rPr>
        <w:t>elor</w:t>
      </w:r>
      <w:r w:rsidRPr="00E91943">
        <w:rPr>
          <w:noProof/>
        </w:rPr>
        <w:t xml:space="preserve">, </w:t>
      </w:r>
      <w:r>
        <w:rPr>
          <w:noProof/>
        </w:rPr>
        <w:t xml:space="preserve">din care să reiasă </w:t>
      </w:r>
      <w:r w:rsidRPr="00E91943">
        <w:rPr>
          <w:noProof/>
        </w:rPr>
        <w:t>în mod clar prioritiz</w:t>
      </w:r>
      <w:r>
        <w:rPr>
          <w:noProof/>
        </w:rPr>
        <w:t>area</w:t>
      </w:r>
      <w:r w:rsidRPr="00E91943">
        <w:rPr>
          <w:noProof/>
        </w:rPr>
        <w:t xml:space="preserve"> hrănir</w:t>
      </w:r>
      <w:r>
        <w:rPr>
          <w:noProof/>
        </w:rPr>
        <w:t>ii</w:t>
      </w:r>
      <w:r w:rsidRPr="00E91943">
        <w:rPr>
          <w:noProof/>
        </w:rPr>
        <w:t xml:space="preserve"> oameni</w:t>
      </w:r>
      <w:r>
        <w:rPr>
          <w:noProof/>
        </w:rPr>
        <w:t>lor</w:t>
      </w:r>
      <w:r w:rsidRPr="00E91943">
        <w:rPr>
          <w:noProof/>
        </w:rPr>
        <w:t xml:space="preserve">, prin prevenirea risipei de alimente </w:t>
      </w:r>
      <w:r>
        <w:rPr>
          <w:noProof/>
        </w:rPr>
        <w:t>ş</w:t>
      </w:r>
      <w:r w:rsidRPr="00E91943">
        <w:rPr>
          <w:noProof/>
        </w:rPr>
        <w:t xml:space="preserve">i donarea </w:t>
      </w:r>
      <w:r>
        <w:rPr>
          <w:noProof/>
        </w:rPr>
        <w:t>către organizaţii de</w:t>
      </w:r>
      <w:r w:rsidRPr="00E91943">
        <w:rPr>
          <w:noProof/>
        </w:rPr>
        <w:t xml:space="preserve"> caritate </w:t>
      </w:r>
      <w:r>
        <w:rPr>
          <w:noProof/>
        </w:rPr>
        <w:t>a</w:t>
      </w:r>
      <w:r w:rsidRPr="00E91943">
        <w:rPr>
          <w:noProof/>
        </w:rPr>
        <w:t xml:space="preserve"> produse</w:t>
      </w:r>
      <w:r>
        <w:rPr>
          <w:noProof/>
        </w:rPr>
        <w:t>lor</w:t>
      </w:r>
      <w:r w:rsidRPr="00E91943">
        <w:rPr>
          <w:noProof/>
        </w:rPr>
        <w:t xml:space="preserve"> alimentare nev</w:t>
      </w:r>
      <w:r>
        <w:rPr>
          <w:noProof/>
        </w:rPr>
        <w:t>ândute</w:t>
      </w:r>
      <w:r w:rsidRPr="00E91943">
        <w:rPr>
          <w:noProof/>
        </w:rPr>
        <w:t xml:space="preserve">, </w:t>
      </w:r>
      <w:r>
        <w:rPr>
          <w:noProof/>
        </w:rPr>
        <w:t>în defavoarea</w:t>
      </w:r>
      <w:r w:rsidRPr="00E91943">
        <w:rPr>
          <w:noProof/>
        </w:rPr>
        <w:t xml:space="preserve"> op</w:t>
      </w:r>
      <w:r>
        <w:rPr>
          <w:noProof/>
        </w:rPr>
        <w:t>ţ</w:t>
      </w:r>
      <w:r w:rsidRPr="00E91943">
        <w:rPr>
          <w:noProof/>
        </w:rPr>
        <w:t>iunilor de gestionare a de</w:t>
      </w:r>
      <w:r>
        <w:rPr>
          <w:noProof/>
        </w:rPr>
        <w:t>ş</w:t>
      </w:r>
      <w:r w:rsidRPr="00E91943">
        <w:rPr>
          <w:noProof/>
        </w:rPr>
        <w:t>eurilor, cum ar fi compostare</w:t>
      </w:r>
      <w:r>
        <w:rPr>
          <w:noProof/>
        </w:rPr>
        <w:t>a</w:t>
      </w:r>
      <w:r w:rsidRPr="00E91943">
        <w:rPr>
          <w:noProof/>
        </w:rPr>
        <w:t>, digestia anaerob</w:t>
      </w:r>
      <w:r w:rsidRPr="00C912D5">
        <w:rPr>
          <w:rFonts w:cs="Garamond"/>
          <w:noProof/>
        </w:rPr>
        <w:t>ă</w:t>
      </w:r>
      <w:r w:rsidRPr="00E91943">
        <w:rPr>
          <w:noProof/>
        </w:rPr>
        <w:t xml:space="preserve"> </w:t>
      </w:r>
      <w:r>
        <w:rPr>
          <w:noProof/>
        </w:rPr>
        <w:t>ş</w:t>
      </w:r>
      <w:r w:rsidRPr="00E91943">
        <w:rPr>
          <w:noProof/>
        </w:rPr>
        <w:t>i depozitarea de</w:t>
      </w:r>
      <w:r>
        <w:rPr>
          <w:noProof/>
        </w:rPr>
        <w:t>ş</w:t>
      </w:r>
      <w:r w:rsidRPr="00E91943">
        <w:rPr>
          <w:noProof/>
        </w:rPr>
        <w:t>eurilor.</w:t>
      </w:r>
      <w:r>
        <w:rPr>
          <w:noProof/>
        </w:rPr>
        <w:t xml:space="preserve"> </w:t>
      </w:r>
    </w:p>
    <w:p w:rsidR="00151906" w:rsidRDefault="00151906" w:rsidP="00151906">
      <w:pPr>
        <w:pStyle w:val="ListParagraph"/>
        <w:numPr>
          <w:ilvl w:val="0"/>
          <w:numId w:val="19"/>
        </w:numPr>
        <w:rPr>
          <w:noProof/>
        </w:rPr>
      </w:pPr>
      <w:r>
        <w:rPr>
          <w:b/>
          <w:noProof/>
        </w:rPr>
        <w:t>Instrumente fiscale.</w:t>
      </w:r>
      <w:r>
        <w:rPr>
          <w:noProof/>
        </w:rPr>
        <w:t xml:space="preserve"> Există o serie de instrumente fiscale care sunt utilizate cu succes în UE în sprijinul donării alimentelor, incluzând aici abandonarea răspunderii TVA şi </w:t>
      </w:r>
      <w:r w:rsidRPr="0082073D">
        <w:rPr>
          <w:b/>
          <w:noProof/>
        </w:rPr>
        <w:t>utilizarea creditelor de impozit pe profit pentru produsele alimentare donate</w:t>
      </w:r>
      <w:r>
        <w:rPr>
          <w:noProof/>
        </w:rPr>
        <w:t>. Se pare că în anumite state membre, răspunderea TVA pare să fi fost „abandonată”, însă utilizarea termenului „scutire</w:t>
      </w:r>
      <w:r w:rsidRPr="00982392">
        <w:rPr>
          <w:noProof/>
        </w:rPr>
        <w:t xml:space="preserve"> </w:t>
      </w:r>
      <w:r>
        <w:rPr>
          <w:noProof/>
        </w:rPr>
        <w:t xml:space="preserve">de la” TVA este încă foarte controversată, iar compatibilitatea acestor politici cu Directiva TVA a UE este neclară. S-a remarcat faptul că, în general, acolo unde este posibil, având în vedere circumstanţele economice ale unui stat membru, </w:t>
      </w:r>
      <w:r w:rsidRPr="001C7655">
        <w:rPr>
          <w:b/>
          <w:noProof/>
        </w:rPr>
        <w:t>creditele fiscale</w:t>
      </w:r>
      <w:r>
        <w:rPr>
          <w:noProof/>
        </w:rPr>
        <w:t xml:space="preserve"> par a fi </w:t>
      </w:r>
      <w:r w:rsidRPr="0082073D">
        <w:rPr>
          <w:b/>
          <w:noProof/>
        </w:rPr>
        <w:t>cel mai eficient instrument fiscal pentru donarea alimentelor</w:t>
      </w:r>
      <w:r>
        <w:rPr>
          <w:noProof/>
        </w:rPr>
        <w:t>.</w:t>
      </w:r>
    </w:p>
    <w:p w:rsidR="00151906" w:rsidRDefault="00151906" w:rsidP="00151906">
      <w:pPr>
        <w:pStyle w:val="ListParagraph"/>
        <w:numPr>
          <w:ilvl w:val="0"/>
          <w:numId w:val="19"/>
        </w:numPr>
        <w:rPr>
          <w:noProof/>
        </w:rPr>
      </w:pPr>
      <w:r>
        <w:rPr>
          <w:b/>
          <w:noProof/>
        </w:rPr>
        <w:t xml:space="preserve">Legislaţia privind răspunderea. </w:t>
      </w:r>
      <w:r>
        <w:rPr>
          <w:noProof/>
        </w:rPr>
        <w:t>Se recomandă e</w:t>
      </w:r>
      <w:r w:rsidRPr="002E4073">
        <w:rPr>
          <w:noProof/>
        </w:rPr>
        <w:t>xemplul Italiei şi</w:t>
      </w:r>
      <w:r>
        <w:rPr>
          <w:noProof/>
        </w:rPr>
        <w:t xml:space="preserve"> al Statelor Unite ale Americii, mai exact </w:t>
      </w:r>
      <w:r>
        <w:rPr>
          <w:i/>
          <w:noProof/>
        </w:rPr>
        <w:t>Legea bunului samaritean</w:t>
      </w:r>
      <w:r>
        <w:rPr>
          <w:noProof/>
        </w:rPr>
        <w:t>, care limitează răspunderea civilă şi penală pentru donarea cu bună credinţă a produselor alimentare, cunoscute ca fiind adecvate pentru consum la momentul donării.</w:t>
      </w:r>
    </w:p>
    <w:p w:rsidR="00151906" w:rsidRDefault="00151906" w:rsidP="00151906">
      <w:pPr>
        <w:pStyle w:val="ListParagraph"/>
        <w:numPr>
          <w:ilvl w:val="0"/>
          <w:numId w:val="19"/>
        </w:numPr>
        <w:rPr>
          <w:noProof/>
        </w:rPr>
      </w:pPr>
      <w:r>
        <w:rPr>
          <w:b/>
          <w:noProof/>
        </w:rPr>
        <w:t>Durabilitatea şi termenele de expirare ale produselor alimentare.</w:t>
      </w:r>
      <w:r w:rsidRPr="00C00867">
        <w:rPr>
          <w:noProof/>
        </w:rPr>
        <w:t xml:space="preserve"> Este propusă extinderea</w:t>
      </w:r>
      <w:r>
        <w:rPr>
          <w:noProof/>
        </w:rPr>
        <w:t xml:space="preserve"> listei produselor care ar putea fi scutite de la obligaţia de a avea un termen de valabilitate (Anexa X a Regulamentului 1169/ 2011), facilitând atât donarea cât şi probabilitatea consumului final, precum şi neînţelegerile cu privire la importanţa şi semnificaţia termenelor de valabilitate inscripţionate pe ambalaje, care persistă în rândul consumatorilor. Se recomandă, de asemenea, modelul </w:t>
      </w:r>
      <w:r w:rsidRPr="00BB6E42">
        <w:rPr>
          <w:i/>
          <w:noProof/>
        </w:rPr>
        <w:t>Ghidului privind interpretarea durabilităţii minime a produselor alimentare pentru băncile alimentare şi organizaţiile de caritate</w:t>
      </w:r>
      <w:r>
        <w:rPr>
          <w:noProof/>
        </w:rPr>
        <w:t>,</w:t>
      </w:r>
      <w:r w:rsidRPr="00BB6E42">
        <w:rPr>
          <w:i/>
          <w:noProof/>
        </w:rPr>
        <w:t xml:space="preserve"> </w:t>
      </w:r>
      <w:r w:rsidRPr="00BB6E42">
        <w:rPr>
          <w:noProof/>
        </w:rPr>
        <w:t>din Belgia</w:t>
      </w:r>
      <w:r>
        <w:rPr>
          <w:noProof/>
        </w:rPr>
        <w:t>.</w:t>
      </w:r>
    </w:p>
    <w:p w:rsidR="00151906" w:rsidRDefault="00151906" w:rsidP="00151906">
      <w:pPr>
        <w:rPr>
          <w:noProof/>
        </w:rPr>
      </w:pPr>
      <w:r w:rsidRPr="00CF71C8">
        <w:rPr>
          <w:b/>
          <w:noProof/>
        </w:rPr>
        <w:t>Alte aspecte</w:t>
      </w:r>
      <w:r w:rsidRPr="00D035F6">
        <w:rPr>
          <w:noProof/>
        </w:rPr>
        <w:t xml:space="preserve"> de politică de luat în considerare pot include</w:t>
      </w:r>
      <w:r>
        <w:rPr>
          <w:noProof/>
        </w:rPr>
        <w:t xml:space="preserve">: </w:t>
      </w:r>
    </w:p>
    <w:p w:rsidR="00707861" w:rsidRDefault="00707861" w:rsidP="00151906">
      <w:pPr>
        <w:pStyle w:val="ListParagraph"/>
        <w:numPr>
          <w:ilvl w:val="0"/>
          <w:numId w:val="20"/>
        </w:numPr>
        <w:rPr>
          <w:noProof/>
        </w:rPr>
      </w:pPr>
      <w:r>
        <w:rPr>
          <w:noProof/>
        </w:rPr>
        <w:t>mecanisme de finanţare ale UE pentru dezvoltarea capacităţilor logistice şi a infrastructurii de transport şi depozitare;</w:t>
      </w:r>
    </w:p>
    <w:p w:rsidR="00707861" w:rsidRDefault="00151906" w:rsidP="00707861">
      <w:pPr>
        <w:pStyle w:val="ListParagraph"/>
        <w:numPr>
          <w:ilvl w:val="0"/>
          <w:numId w:val="20"/>
        </w:numPr>
        <w:rPr>
          <w:noProof/>
        </w:rPr>
      </w:pPr>
      <w:r w:rsidRPr="00151906">
        <w:rPr>
          <w:noProof/>
        </w:rPr>
        <w:t>facilitarea de către statele membre</w:t>
      </w:r>
      <w:r w:rsidR="00707861">
        <w:rPr>
          <w:noProof/>
        </w:rPr>
        <w:t>/ guverne</w:t>
      </w:r>
      <w:r w:rsidRPr="00151906">
        <w:rPr>
          <w:noProof/>
        </w:rPr>
        <w:t xml:space="preserve"> a colaborării donatorilor în cadrul lanţului de aprovizionare</w:t>
      </w:r>
      <w:r w:rsidR="00707861">
        <w:rPr>
          <w:noProof/>
        </w:rPr>
        <w:t xml:space="preserve"> (ex. </w:t>
      </w:r>
      <w:r w:rsidR="00707861" w:rsidRPr="00707861">
        <w:rPr>
          <w:noProof/>
        </w:rPr>
        <w:t xml:space="preserve">Food Connection Programme </w:t>
      </w:r>
      <w:r w:rsidR="00707861">
        <w:rPr>
          <w:noProof/>
        </w:rPr>
        <w:t xml:space="preserve">dezvoltat în </w:t>
      </w:r>
      <w:r w:rsidR="00707861" w:rsidRPr="00707861">
        <w:rPr>
          <w:noProof/>
        </w:rPr>
        <w:t xml:space="preserve">UK </w:t>
      </w:r>
      <w:r w:rsidR="00707861">
        <w:rPr>
          <w:noProof/>
        </w:rPr>
        <w:t>care a permis identificarea bunelor practici în acest sens)</w:t>
      </w:r>
      <w:r w:rsidRPr="00151906">
        <w:rPr>
          <w:noProof/>
        </w:rPr>
        <w:t xml:space="preserve">; </w:t>
      </w:r>
    </w:p>
    <w:p w:rsidR="00151906" w:rsidRPr="00151906" w:rsidRDefault="00151906" w:rsidP="00151906">
      <w:pPr>
        <w:pStyle w:val="ListParagraph"/>
        <w:numPr>
          <w:ilvl w:val="0"/>
          <w:numId w:val="20"/>
        </w:numPr>
        <w:rPr>
          <w:noProof/>
        </w:rPr>
      </w:pPr>
      <w:r w:rsidRPr="00151906">
        <w:rPr>
          <w:noProof/>
        </w:rPr>
        <w:t>cerinţel</w:t>
      </w:r>
      <w:r w:rsidR="00707861">
        <w:rPr>
          <w:noProof/>
        </w:rPr>
        <w:t>ele naţionale/de business cu privire la donarea produselor alimentare către oamenii aflaţi în nevoie, pe gratis, ar trebui reconsiderate,</w:t>
      </w:r>
      <w:r w:rsidRPr="00151906">
        <w:rPr>
          <w:noProof/>
        </w:rPr>
        <w:t xml:space="preserve"> </w:t>
      </w:r>
      <w:r w:rsidR="00707861">
        <w:rPr>
          <w:noProof/>
        </w:rPr>
        <w:t>ţinând cont de câteva aspecte semnificative</w:t>
      </w:r>
      <w:r w:rsidR="00156987">
        <w:rPr>
          <w:noProof/>
        </w:rPr>
        <w:t xml:space="preserve"> </w:t>
      </w:r>
      <w:r w:rsidR="00156987">
        <w:rPr>
          <w:noProof/>
        </w:rPr>
        <w:lastRenderedPageBreak/>
        <w:t>în ceea ce priveşte ocuparea forţei de muncă în sectorul social, reducerea sărăciei şi comportamentul alimentar sănătos, aspecte ce pot fi susţinute de magazinele sociale care percep o taxă nominală pentru produsele alimentare de la persoanele nevoiaşe</w:t>
      </w:r>
      <w:r w:rsidRPr="00151906">
        <w:rPr>
          <w:noProof/>
        </w:rPr>
        <w:t xml:space="preserve">; </w:t>
      </w:r>
    </w:p>
    <w:p w:rsidR="00151906" w:rsidRPr="00151906" w:rsidRDefault="00151906" w:rsidP="00151906">
      <w:pPr>
        <w:pStyle w:val="ListParagraph"/>
        <w:numPr>
          <w:ilvl w:val="0"/>
          <w:numId w:val="20"/>
        </w:numPr>
        <w:rPr>
          <w:noProof/>
        </w:rPr>
      </w:pPr>
      <w:r w:rsidRPr="00151906">
        <w:rPr>
          <w:noProof/>
        </w:rPr>
        <w:t xml:space="preserve">revizuirea legislaţiei privind igiena referitoare </w:t>
      </w:r>
      <w:r w:rsidRPr="00151906">
        <w:rPr>
          <w:rFonts w:cs="Garamond"/>
          <w:noProof/>
        </w:rPr>
        <w:t>î</w:t>
      </w:r>
      <w:r w:rsidRPr="00151906">
        <w:rPr>
          <w:noProof/>
        </w:rPr>
        <w:t>n mod specific la sectorul serviciilor alimentare, ca feedback şi experienţă, demostrează faptul că a fost făcută în mod excesiv şi este prost înţeleasă;</w:t>
      </w:r>
    </w:p>
    <w:p w:rsidR="00F85194" w:rsidRDefault="00151906" w:rsidP="00151906">
      <w:pPr>
        <w:pStyle w:val="ListParagraph"/>
        <w:numPr>
          <w:ilvl w:val="0"/>
          <w:numId w:val="20"/>
        </w:numPr>
      </w:pPr>
      <w:r w:rsidRPr="00151906">
        <w:rPr>
          <w:noProof/>
        </w:rPr>
        <w:t xml:space="preserve">încurajarea publicării datelor privind deşeurile alimentare </w:t>
      </w:r>
      <w:r w:rsidRPr="00151906">
        <w:rPr>
          <w:rFonts w:cs="Garamond"/>
          <w:noProof/>
        </w:rPr>
        <w:t>di</w:t>
      </w:r>
      <w:r w:rsidRPr="00151906">
        <w:rPr>
          <w:noProof/>
        </w:rPr>
        <w:t>n cadrul lanţului de aprovizionare cu alimente, facilitat</w:t>
      </w:r>
      <w:r w:rsidRPr="00151906">
        <w:rPr>
          <w:rFonts w:cs="Garamond"/>
          <w:noProof/>
        </w:rPr>
        <w:t>ă</w:t>
      </w:r>
      <w:r w:rsidRPr="00151906">
        <w:rPr>
          <w:noProof/>
        </w:rPr>
        <w:t xml:space="preserve"> prin programe de acţiune colectiv</w:t>
      </w:r>
      <w:r w:rsidRPr="00151906">
        <w:rPr>
          <w:rFonts w:cs="Garamond"/>
          <w:noProof/>
        </w:rPr>
        <w:t>ă</w:t>
      </w:r>
      <w:r w:rsidRPr="00151906">
        <w:rPr>
          <w:noProof/>
        </w:rPr>
        <w:t xml:space="preserve"> voluntar</w:t>
      </w:r>
      <w:r w:rsidRPr="00151906">
        <w:rPr>
          <w:rFonts w:cs="Garamond"/>
          <w:noProof/>
        </w:rPr>
        <w:t>ă,</w:t>
      </w:r>
      <w:r w:rsidRPr="00151906">
        <w:rPr>
          <w:noProof/>
        </w:rPr>
        <w:t xml:space="preserve"> sponsorizate de statele membre</w:t>
      </w:r>
      <w:r w:rsidR="00156987">
        <w:rPr>
          <w:noProof/>
        </w:rPr>
        <w:t xml:space="preserve">, cu scopul de a înţelege amploarea fenomenului în rândul tuturor sectoarelor relevante, reprezentând un prim pas important în dezvoltarea unor strategii pentru a preveni şi a dona </w:t>
      </w:r>
      <w:r w:rsidR="00DF5CCA">
        <w:rPr>
          <w:noProof/>
        </w:rPr>
        <w:t>cât mai mult din aceste cantităţi risipite.</w:t>
      </w:r>
    </w:p>
    <w:p w:rsidR="00A02946" w:rsidRDefault="00A02946" w:rsidP="00E56F45">
      <w:r w:rsidRPr="00A02946">
        <w:rPr>
          <w:b/>
        </w:rPr>
        <w:t>Categorii de măsuri</w:t>
      </w:r>
      <w:r>
        <w:t xml:space="preserve"> </w:t>
      </w:r>
      <w:r w:rsidRPr="00A02946">
        <w:rPr>
          <w:b/>
        </w:rPr>
        <w:t>de politică</w:t>
      </w:r>
      <w:r w:rsidR="00266F51">
        <w:rPr>
          <w:rStyle w:val="FootnoteReference"/>
          <w:b/>
        </w:rPr>
        <w:footnoteReference w:id="13"/>
      </w:r>
      <w:r>
        <w:t xml:space="preserve"> pentru care anumite </w:t>
      </w:r>
      <w:r w:rsidRPr="00A02946">
        <w:t>modificări strategice ar putea aduce o contribuţie semnificativă la reducerea risipei de hrană.</w:t>
      </w:r>
      <w:r>
        <w:t xml:space="preserve">: </w:t>
      </w:r>
      <w:r w:rsidRPr="00FF1D0C">
        <w:rPr>
          <w:i/>
          <w:noProof/>
        </w:rPr>
        <w:t xml:space="preserve">Informaţii referitoare la alimente; </w:t>
      </w:r>
      <w:r w:rsidRPr="00A02946">
        <w:rPr>
          <w:i/>
          <w:noProof/>
        </w:rPr>
        <w:t>Reguli privind igiena</w:t>
      </w:r>
      <w:r>
        <w:rPr>
          <w:i/>
          <w:noProof/>
        </w:rPr>
        <w:t>;</w:t>
      </w:r>
      <w:r w:rsidRPr="00A02946">
        <w:rPr>
          <w:i/>
          <w:noProof/>
        </w:rPr>
        <w:t xml:space="preserve"> </w:t>
      </w:r>
      <w:r w:rsidRPr="00FF1D0C">
        <w:rPr>
          <w:i/>
          <w:noProof/>
        </w:rPr>
        <w:t xml:space="preserve">Standarde de comercializare; </w:t>
      </w:r>
      <w:r w:rsidR="001C26A5" w:rsidRPr="00FF1D0C">
        <w:rPr>
          <w:i/>
          <w:noProof/>
        </w:rPr>
        <w:t>Distribuţie gratuit</w:t>
      </w:r>
      <w:r w:rsidR="001C26A5" w:rsidRPr="00FF1D0C">
        <w:rPr>
          <w:rFonts w:cs="Garamond"/>
          <w:i/>
          <w:noProof/>
        </w:rPr>
        <w:t xml:space="preserve">ă; </w:t>
      </w:r>
      <w:r w:rsidRPr="00FF1D0C">
        <w:rPr>
          <w:i/>
          <w:noProof/>
        </w:rPr>
        <w:t xml:space="preserve">Răspunderea producătorului </w:t>
      </w:r>
      <w:r w:rsidRPr="00FF1D0C">
        <w:rPr>
          <w:noProof/>
        </w:rPr>
        <w:t xml:space="preserve">şi </w:t>
      </w:r>
      <w:r w:rsidRPr="00FF1D0C">
        <w:rPr>
          <w:i/>
          <w:noProof/>
        </w:rPr>
        <w:t>Taxa pe valoarea adăugată (TVA).</w:t>
      </w:r>
    </w:p>
    <w:p w:rsidR="00C16061" w:rsidRPr="00C16061" w:rsidRDefault="00C16061" w:rsidP="008C68AD">
      <w:pPr>
        <w:rPr>
          <w:rFonts w:cs="TimesNewRoman"/>
          <w:highlight w:val="yellow"/>
        </w:rPr>
      </w:pPr>
    </w:p>
    <w:sectPr w:rsidR="00C16061" w:rsidRPr="00C16061" w:rsidSect="00EF6F4C">
      <w:headerReference w:type="default" r:id="rId17"/>
      <w:footerReference w:type="default" r:id="rId18"/>
      <w:headerReference w:type="first" r:id="rId19"/>
      <w:footerReference w:type="first" r:id="rId20"/>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27" w:rsidRDefault="00A93127" w:rsidP="00884B48">
      <w:pPr>
        <w:spacing w:before="0" w:after="0" w:line="240" w:lineRule="auto"/>
      </w:pPr>
      <w:r>
        <w:separator/>
      </w:r>
    </w:p>
  </w:endnote>
  <w:endnote w:type="continuationSeparator" w:id="0">
    <w:p w:rsidR="00A93127" w:rsidRDefault="00A93127" w:rsidP="00884B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7196"/>
    </w:tblGrid>
    <w:tr w:rsidR="00DB64CD" w:rsidTr="00DB64CD">
      <w:trPr>
        <w:trHeight w:val="284"/>
      </w:trPr>
      <w:tc>
        <w:tcPr>
          <w:tcW w:w="1560" w:type="dxa"/>
          <w:shd w:val="clear" w:color="auto" w:fill="EF7F31"/>
          <w:vAlign w:val="center"/>
        </w:tcPr>
        <w:p w:rsidR="00DB64CD" w:rsidRPr="00FB323A" w:rsidRDefault="00DB64CD" w:rsidP="00DB64CD">
          <w:pPr>
            <w:pStyle w:val="Footer"/>
            <w:spacing w:before="0"/>
            <w:ind w:right="318"/>
            <w:jc w:val="right"/>
            <w:rPr>
              <w:rFonts w:ascii="Verdana" w:hAnsi="Verdana"/>
            </w:rPr>
          </w:pPr>
          <w:r w:rsidRPr="00FB323A">
            <w:rPr>
              <w:rFonts w:ascii="Verdana" w:hAnsi="Verdana"/>
              <w:color w:val="FFFFFF" w:themeColor="background1"/>
            </w:rPr>
            <w:fldChar w:fldCharType="begin"/>
          </w:r>
          <w:r w:rsidRPr="00FB323A">
            <w:rPr>
              <w:rFonts w:ascii="Verdana" w:hAnsi="Verdana"/>
              <w:color w:val="FFFFFF" w:themeColor="background1"/>
            </w:rPr>
            <w:instrText>PAGE   \* MERGEFORMAT</w:instrText>
          </w:r>
          <w:r w:rsidRPr="00FB323A">
            <w:rPr>
              <w:rFonts w:ascii="Verdana" w:hAnsi="Verdana"/>
              <w:color w:val="FFFFFF" w:themeColor="background1"/>
            </w:rPr>
            <w:fldChar w:fldCharType="separate"/>
          </w:r>
          <w:r w:rsidR="00DC05C7">
            <w:rPr>
              <w:rFonts w:ascii="Verdana" w:hAnsi="Verdana"/>
              <w:noProof/>
              <w:color w:val="FFFFFF" w:themeColor="background1"/>
            </w:rPr>
            <w:t>2</w:t>
          </w:r>
          <w:r w:rsidRPr="00FB323A">
            <w:rPr>
              <w:rFonts w:ascii="Verdana" w:hAnsi="Verdana"/>
              <w:color w:val="FFFFFF" w:themeColor="background1"/>
            </w:rPr>
            <w:fldChar w:fldCharType="end"/>
          </w:r>
        </w:p>
      </w:tc>
      <w:tc>
        <w:tcPr>
          <w:tcW w:w="3260" w:type="dxa"/>
        </w:tcPr>
        <w:p w:rsidR="00DB64CD" w:rsidRDefault="00DB64CD" w:rsidP="00DB64CD">
          <w:pPr>
            <w:pStyle w:val="Footer"/>
            <w:spacing w:before="0"/>
            <w:jc w:val="center"/>
            <w:rPr>
              <w:noProof/>
              <w:lang w:eastAsia="ro-RO"/>
            </w:rPr>
          </w:pPr>
          <w:r>
            <w:rPr>
              <w:noProof/>
              <w:lang w:val="en-US"/>
            </w:rPr>
            <w:drawing>
              <wp:inline distT="0" distB="0" distL="0" distR="0" wp14:anchorId="588A6349" wp14:editId="500FC508">
                <wp:extent cx="1627045" cy="273685"/>
                <wp:effectExtent l="0" t="0" r="0" b="0"/>
                <wp:docPr id="3"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HICK-COLOR-1.png"/>
                        <pic:cNvPicPr/>
                      </pic:nvPicPr>
                      <pic:blipFill>
                        <a:blip r:embed="rId1">
                          <a:extLst>
                            <a:ext uri="{28A0092B-C50C-407E-A947-70E740481C1C}">
                              <a14:useLocalDpi xmlns:a14="http://schemas.microsoft.com/office/drawing/2010/main" val="0"/>
                            </a:ext>
                          </a:extLst>
                        </a:blip>
                        <a:stretch>
                          <a:fillRect/>
                        </a:stretch>
                      </pic:blipFill>
                      <pic:spPr>
                        <a:xfrm>
                          <a:off x="0" y="0"/>
                          <a:ext cx="1690322" cy="284329"/>
                        </a:xfrm>
                        <a:prstGeom prst="rect">
                          <a:avLst/>
                        </a:prstGeom>
                      </pic:spPr>
                    </pic:pic>
                  </a:graphicData>
                </a:graphic>
              </wp:inline>
            </w:drawing>
          </w:r>
        </w:p>
      </w:tc>
      <w:tc>
        <w:tcPr>
          <w:tcW w:w="7196" w:type="dxa"/>
          <w:shd w:val="clear" w:color="auto" w:fill="1F5E7D"/>
        </w:tcPr>
        <w:p w:rsidR="00DB64CD" w:rsidRDefault="00DB64CD" w:rsidP="00DB64CD">
          <w:pPr>
            <w:pStyle w:val="Footer"/>
            <w:spacing w:before="0"/>
          </w:pPr>
        </w:p>
      </w:tc>
    </w:tr>
  </w:tbl>
  <w:p w:rsidR="00DB64CD" w:rsidRDefault="00DB6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7196"/>
    </w:tblGrid>
    <w:tr w:rsidR="00DB64CD" w:rsidTr="00814E18">
      <w:trPr>
        <w:trHeight w:val="284"/>
      </w:trPr>
      <w:tc>
        <w:tcPr>
          <w:tcW w:w="1560" w:type="dxa"/>
          <w:shd w:val="clear" w:color="auto" w:fill="EF7F31"/>
          <w:vAlign w:val="center"/>
        </w:tcPr>
        <w:p w:rsidR="00DB64CD" w:rsidRPr="00FB323A" w:rsidRDefault="00DB64CD" w:rsidP="00814E18">
          <w:pPr>
            <w:pStyle w:val="Footer"/>
            <w:spacing w:before="0"/>
            <w:ind w:right="318"/>
            <w:jc w:val="right"/>
            <w:rPr>
              <w:rFonts w:ascii="Verdana" w:hAnsi="Verdana"/>
            </w:rPr>
          </w:pPr>
          <w:r w:rsidRPr="00FB323A">
            <w:rPr>
              <w:rFonts w:ascii="Verdana" w:hAnsi="Verdana"/>
              <w:color w:val="FFFFFF" w:themeColor="background1"/>
            </w:rPr>
            <w:fldChar w:fldCharType="begin"/>
          </w:r>
          <w:r w:rsidRPr="00FB323A">
            <w:rPr>
              <w:rFonts w:ascii="Verdana" w:hAnsi="Verdana"/>
              <w:color w:val="FFFFFF" w:themeColor="background1"/>
            </w:rPr>
            <w:instrText>PAGE   \* MERGEFORMAT</w:instrText>
          </w:r>
          <w:r w:rsidRPr="00FB323A">
            <w:rPr>
              <w:rFonts w:ascii="Verdana" w:hAnsi="Verdana"/>
              <w:color w:val="FFFFFF" w:themeColor="background1"/>
            </w:rPr>
            <w:fldChar w:fldCharType="separate"/>
          </w:r>
          <w:r w:rsidR="00DC05C7">
            <w:rPr>
              <w:rFonts w:ascii="Verdana" w:hAnsi="Verdana"/>
              <w:noProof/>
              <w:color w:val="FFFFFF" w:themeColor="background1"/>
            </w:rPr>
            <w:t>1</w:t>
          </w:r>
          <w:r w:rsidRPr="00FB323A">
            <w:rPr>
              <w:rFonts w:ascii="Verdana" w:hAnsi="Verdana"/>
              <w:color w:val="FFFFFF" w:themeColor="background1"/>
            </w:rPr>
            <w:fldChar w:fldCharType="end"/>
          </w:r>
        </w:p>
      </w:tc>
      <w:tc>
        <w:tcPr>
          <w:tcW w:w="3260" w:type="dxa"/>
        </w:tcPr>
        <w:p w:rsidR="00DB64CD" w:rsidRDefault="00DB64CD" w:rsidP="00814E18">
          <w:pPr>
            <w:pStyle w:val="Footer"/>
            <w:spacing w:before="0"/>
            <w:jc w:val="center"/>
            <w:rPr>
              <w:noProof/>
              <w:lang w:eastAsia="ro-RO"/>
            </w:rPr>
          </w:pPr>
          <w:r>
            <w:rPr>
              <w:noProof/>
              <w:lang w:val="en-US"/>
            </w:rPr>
            <w:drawing>
              <wp:inline distT="0" distB="0" distL="0" distR="0" wp14:anchorId="606EE716" wp14:editId="19A41A20">
                <wp:extent cx="1627045" cy="273685"/>
                <wp:effectExtent l="0" t="0" r="0" b="0"/>
                <wp:docPr id="72"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HICK-COLOR-1.png"/>
                        <pic:cNvPicPr/>
                      </pic:nvPicPr>
                      <pic:blipFill>
                        <a:blip r:embed="rId1">
                          <a:extLst>
                            <a:ext uri="{28A0092B-C50C-407E-A947-70E740481C1C}">
                              <a14:useLocalDpi xmlns:a14="http://schemas.microsoft.com/office/drawing/2010/main" val="0"/>
                            </a:ext>
                          </a:extLst>
                        </a:blip>
                        <a:stretch>
                          <a:fillRect/>
                        </a:stretch>
                      </pic:blipFill>
                      <pic:spPr>
                        <a:xfrm>
                          <a:off x="0" y="0"/>
                          <a:ext cx="1690322" cy="284329"/>
                        </a:xfrm>
                        <a:prstGeom prst="rect">
                          <a:avLst/>
                        </a:prstGeom>
                      </pic:spPr>
                    </pic:pic>
                  </a:graphicData>
                </a:graphic>
              </wp:inline>
            </w:drawing>
          </w:r>
        </w:p>
      </w:tc>
      <w:tc>
        <w:tcPr>
          <w:tcW w:w="7196" w:type="dxa"/>
          <w:shd w:val="clear" w:color="auto" w:fill="1F5E7D"/>
        </w:tcPr>
        <w:p w:rsidR="00DB64CD" w:rsidRDefault="00DB64CD" w:rsidP="00814E18">
          <w:pPr>
            <w:pStyle w:val="Footer"/>
            <w:spacing w:before="0"/>
          </w:pPr>
        </w:p>
      </w:tc>
    </w:tr>
  </w:tbl>
  <w:p w:rsidR="00DB64CD" w:rsidRDefault="00DB6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86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12049"/>
    </w:tblGrid>
    <w:tr w:rsidR="00DB64CD" w:rsidTr="00611865">
      <w:trPr>
        <w:trHeight w:val="284"/>
      </w:trPr>
      <w:tc>
        <w:tcPr>
          <w:tcW w:w="1560" w:type="dxa"/>
          <w:shd w:val="clear" w:color="auto" w:fill="EF7F31"/>
          <w:vAlign w:val="center"/>
        </w:tcPr>
        <w:p w:rsidR="00DB64CD" w:rsidRPr="00FB323A" w:rsidRDefault="00DB64CD" w:rsidP="00DB64CD">
          <w:pPr>
            <w:pStyle w:val="Footer"/>
            <w:spacing w:before="0"/>
            <w:ind w:right="318"/>
            <w:jc w:val="right"/>
            <w:rPr>
              <w:rFonts w:ascii="Verdana" w:hAnsi="Verdana"/>
            </w:rPr>
          </w:pPr>
          <w:r w:rsidRPr="00FB323A">
            <w:rPr>
              <w:rFonts w:ascii="Verdana" w:hAnsi="Verdana"/>
              <w:color w:val="FFFFFF" w:themeColor="background1"/>
            </w:rPr>
            <w:fldChar w:fldCharType="begin"/>
          </w:r>
          <w:r w:rsidRPr="00FB323A">
            <w:rPr>
              <w:rFonts w:ascii="Verdana" w:hAnsi="Verdana"/>
              <w:color w:val="FFFFFF" w:themeColor="background1"/>
            </w:rPr>
            <w:instrText>PAGE   \* MERGEFORMAT</w:instrText>
          </w:r>
          <w:r w:rsidRPr="00FB323A">
            <w:rPr>
              <w:rFonts w:ascii="Verdana" w:hAnsi="Verdana"/>
              <w:color w:val="FFFFFF" w:themeColor="background1"/>
            </w:rPr>
            <w:fldChar w:fldCharType="separate"/>
          </w:r>
          <w:r w:rsidR="00DC05C7">
            <w:rPr>
              <w:rFonts w:ascii="Verdana" w:hAnsi="Verdana"/>
              <w:noProof/>
              <w:color w:val="FFFFFF" w:themeColor="background1"/>
            </w:rPr>
            <w:t>5</w:t>
          </w:r>
          <w:r w:rsidRPr="00FB323A">
            <w:rPr>
              <w:rFonts w:ascii="Verdana" w:hAnsi="Verdana"/>
              <w:color w:val="FFFFFF" w:themeColor="background1"/>
            </w:rPr>
            <w:fldChar w:fldCharType="end"/>
          </w:r>
        </w:p>
      </w:tc>
      <w:tc>
        <w:tcPr>
          <w:tcW w:w="3260" w:type="dxa"/>
        </w:tcPr>
        <w:p w:rsidR="00DB64CD" w:rsidRDefault="00DB64CD" w:rsidP="00DB64CD">
          <w:pPr>
            <w:pStyle w:val="Footer"/>
            <w:spacing w:before="0"/>
            <w:jc w:val="center"/>
            <w:rPr>
              <w:noProof/>
              <w:lang w:eastAsia="ro-RO"/>
            </w:rPr>
          </w:pPr>
          <w:r>
            <w:rPr>
              <w:noProof/>
              <w:lang w:val="en-US"/>
            </w:rPr>
            <w:drawing>
              <wp:inline distT="0" distB="0" distL="0" distR="0" wp14:anchorId="6654D486" wp14:editId="5F69F72A">
                <wp:extent cx="1627045" cy="273685"/>
                <wp:effectExtent l="0" t="0" r="0" b="0"/>
                <wp:docPr id="5"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HICK-COLOR-1.png"/>
                        <pic:cNvPicPr/>
                      </pic:nvPicPr>
                      <pic:blipFill>
                        <a:blip r:embed="rId1">
                          <a:extLst>
                            <a:ext uri="{28A0092B-C50C-407E-A947-70E740481C1C}">
                              <a14:useLocalDpi xmlns:a14="http://schemas.microsoft.com/office/drawing/2010/main" val="0"/>
                            </a:ext>
                          </a:extLst>
                        </a:blip>
                        <a:stretch>
                          <a:fillRect/>
                        </a:stretch>
                      </pic:blipFill>
                      <pic:spPr>
                        <a:xfrm>
                          <a:off x="0" y="0"/>
                          <a:ext cx="1690322" cy="284329"/>
                        </a:xfrm>
                        <a:prstGeom prst="rect">
                          <a:avLst/>
                        </a:prstGeom>
                      </pic:spPr>
                    </pic:pic>
                  </a:graphicData>
                </a:graphic>
              </wp:inline>
            </w:drawing>
          </w:r>
        </w:p>
      </w:tc>
      <w:tc>
        <w:tcPr>
          <w:tcW w:w="12049" w:type="dxa"/>
          <w:shd w:val="clear" w:color="auto" w:fill="1F5E7D"/>
        </w:tcPr>
        <w:p w:rsidR="00DB64CD" w:rsidRDefault="00DB64CD" w:rsidP="00DB64CD">
          <w:pPr>
            <w:pStyle w:val="Footer"/>
            <w:spacing w:before="0"/>
          </w:pPr>
        </w:p>
      </w:tc>
    </w:tr>
  </w:tbl>
  <w:p w:rsidR="00DB64CD" w:rsidRDefault="00DB64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86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12049"/>
    </w:tblGrid>
    <w:tr w:rsidR="00DB64CD" w:rsidTr="004676B6">
      <w:trPr>
        <w:trHeight w:val="284"/>
      </w:trPr>
      <w:tc>
        <w:tcPr>
          <w:tcW w:w="1560" w:type="dxa"/>
          <w:shd w:val="clear" w:color="auto" w:fill="EF7F31"/>
          <w:vAlign w:val="center"/>
        </w:tcPr>
        <w:p w:rsidR="00DB64CD" w:rsidRPr="00FB323A" w:rsidRDefault="00DB64CD" w:rsidP="00814E18">
          <w:pPr>
            <w:pStyle w:val="Footer"/>
            <w:spacing w:before="0"/>
            <w:ind w:right="318"/>
            <w:jc w:val="right"/>
            <w:rPr>
              <w:rFonts w:ascii="Verdana" w:hAnsi="Verdana"/>
            </w:rPr>
          </w:pPr>
          <w:r w:rsidRPr="00FB323A">
            <w:rPr>
              <w:rFonts w:ascii="Verdana" w:hAnsi="Verdana"/>
              <w:color w:val="FFFFFF" w:themeColor="background1"/>
            </w:rPr>
            <w:fldChar w:fldCharType="begin"/>
          </w:r>
          <w:r w:rsidRPr="00FB323A">
            <w:rPr>
              <w:rFonts w:ascii="Verdana" w:hAnsi="Verdana"/>
              <w:color w:val="FFFFFF" w:themeColor="background1"/>
            </w:rPr>
            <w:instrText>PAGE   \* MERGEFORMAT</w:instrText>
          </w:r>
          <w:r w:rsidRPr="00FB323A">
            <w:rPr>
              <w:rFonts w:ascii="Verdana" w:hAnsi="Verdana"/>
              <w:color w:val="FFFFFF" w:themeColor="background1"/>
            </w:rPr>
            <w:fldChar w:fldCharType="separate"/>
          </w:r>
          <w:r w:rsidR="00DC05C7">
            <w:rPr>
              <w:rFonts w:ascii="Verdana" w:hAnsi="Verdana"/>
              <w:noProof/>
              <w:color w:val="FFFFFF" w:themeColor="background1"/>
            </w:rPr>
            <w:t>3</w:t>
          </w:r>
          <w:r w:rsidRPr="00FB323A">
            <w:rPr>
              <w:rFonts w:ascii="Verdana" w:hAnsi="Verdana"/>
              <w:color w:val="FFFFFF" w:themeColor="background1"/>
            </w:rPr>
            <w:fldChar w:fldCharType="end"/>
          </w:r>
        </w:p>
      </w:tc>
      <w:tc>
        <w:tcPr>
          <w:tcW w:w="3260" w:type="dxa"/>
        </w:tcPr>
        <w:p w:rsidR="00DB64CD" w:rsidRDefault="00DB64CD" w:rsidP="00814E18">
          <w:pPr>
            <w:pStyle w:val="Footer"/>
            <w:spacing w:before="0"/>
            <w:jc w:val="center"/>
            <w:rPr>
              <w:noProof/>
              <w:lang w:eastAsia="ro-RO"/>
            </w:rPr>
          </w:pPr>
          <w:r>
            <w:rPr>
              <w:noProof/>
              <w:lang w:val="en-US"/>
            </w:rPr>
            <w:drawing>
              <wp:inline distT="0" distB="0" distL="0" distR="0" wp14:anchorId="73C91B7D" wp14:editId="05308526">
                <wp:extent cx="1627045" cy="273685"/>
                <wp:effectExtent l="0" t="0" r="0" b="0"/>
                <wp:docPr id="1"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HICK-COLOR-1.png"/>
                        <pic:cNvPicPr/>
                      </pic:nvPicPr>
                      <pic:blipFill>
                        <a:blip r:embed="rId1">
                          <a:extLst>
                            <a:ext uri="{28A0092B-C50C-407E-A947-70E740481C1C}">
                              <a14:useLocalDpi xmlns:a14="http://schemas.microsoft.com/office/drawing/2010/main" val="0"/>
                            </a:ext>
                          </a:extLst>
                        </a:blip>
                        <a:stretch>
                          <a:fillRect/>
                        </a:stretch>
                      </pic:blipFill>
                      <pic:spPr>
                        <a:xfrm>
                          <a:off x="0" y="0"/>
                          <a:ext cx="1690322" cy="284329"/>
                        </a:xfrm>
                        <a:prstGeom prst="rect">
                          <a:avLst/>
                        </a:prstGeom>
                      </pic:spPr>
                    </pic:pic>
                  </a:graphicData>
                </a:graphic>
              </wp:inline>
            </w:drawing>
          </w:r>
        </w:p>
      </w:tc>
      <w:tc>
        <w:tcPr>
          <w:tcW w:w="12049" w:type="dxa"/>
          <w:shd w:val="clear" w:color="auto" w:fill="1F5E7D"/>
        </w:tcPr>
        <w:p w:rsidR="00DB64CD" w:rsidRDefault="00DB64CD" w:rsidP="00814E18">
          <w:pPr>
            <w:pStyle w:val="Footer"/>
            <w:spacing w:before="0"/>
          </w:pPr>
        </w:p>
      </w:tc>
    </w:tr>
  </w:tbl>
  <w:p w:rsidR="00DB64CD" w:rsidRDefault="00DB64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869"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12049"/>
    </w:tblGrid>
    <w:tr w:rsidR="00DB64CD" w:rsidTr="000F79D8">
      <w:trPr>
        <w:trHeight w:val="284"/>
      </w:trPr>
      <w:tc>
        <w:tcPr>
          <w:tcW w:w="1560" w:type="dxa"/>
          <w:shd w:val="clear" w:color="auto" w:fill="EF7F31"/>
          <w:vAlign w:val="center"/>
        </w:tcPr>
        <w:p w:rsidR="00DB64CD" w:rsidRPr="00FB323A" w:rsidRDefault="00DB64CD" w:rsidP="00DB64CD">
          <w:pPr>
            <w:pStyle w:val="Footer"/>
            <w:spacing w:before="0"/>
            <w:ind w:right="318"/>
            <w:jc w:val="right"/>
            <w:rPr>
              <w:rFonts w:ascii="Verdana" w:hAnsi="Verdana"/>
            </w:rPr>
          </w:pPr>
          <w:r w:rsidRPr="00FB323A">
            <w:rPr>
              <w:rFonts w:ascii="Verdana" w:hAnsi="Verdana"/>
              <w:color w:val="FFFFFF" w:themeColor="background1"/>
            </w:rPr>
            <w:fldChar w:fldCharType="begin"/>
          </w:r>
          <w:r w:rsidRPr="00FB323A">
            <w:rPr>
              <w:rFonts w:ascii="Verdana" w:hAnsi="Verdana"/>
              <w:color w:val="FFFFFF" w:themeColor="background1"/>
            </w:rPr>
            <w:instrText>PAGE   \* MERGEFORMAT</w:instrText>
          </w:r>
          <w:r w:rsidRPr="00FB323A">
            <w:rPr>
              <w:rFonts w:ascii="Verdana" w:hAnsi="Verdana"/>
              <w:color w:val="FFFFFF" w:themeColor="background1"/>
            </w:rPr>
            <w:fldChar w:fldCharType="separate"/>
          </w:r>
          <w:r w:rsidR="00DC05C7">
            <w:rPr>
              <w:rFonts w:ascii="Verdana" w:hAnsi="Verdana"/>
              <w:noProof/>
              <w:color w:val="FFFFFF" w:themeColor="background1"/>
            </w:rPr>
            <w:t>8</w:t>
          </w:r>
          <w:r w:rsidRPr="00FB323A">
            <w:rPr>
              <w:rFonts w:ascii="Verdana" w:hAnsi="Verdana"/>
              <w:color w:val="FFFFFF" w:themeColor="background1"/>
            </w:rPr>
            <w:fldChar w:fldCharType="end"/>
          </w:r>
        </w:p>
      </w:tc>
      <w:tc>
        <w:tcPr>
          <w:tcW w:w="3260" w:type="dxa"/>
        </w:tcPr>
        <w:p w:rsidR="00DB64CD" w:rsidRDefault="00DB64CD" w:rsidP="00DB64CD">
          <w:pPr>
            <w:pStyle w:val="Footer"/>
            <w:spacing w:before="0"/>
            <w:jc w:val="center"/>
            <w:rPr>
              <w:noProof/>
              <w:lang w:eastAsia="ro-RO"/>
            </w:rPr>
          </w:pPr>
          <w:r>
            <w:rPr>
              <w:noProof/>
              <w:lang w:val="en-US"/>
            </w:rPr>
            <w:drawing>
              <wp:inline distT="0" distB="0" distL="0" distR="0" wp14:anchorId="7A4EEF07" wp14:editId="4134C632">
                <wp:extent cx="1627045" cy="273685"/>
                <wp:effectExtent l="0" t="0" r="0" b="0"/>
                <wp:docPr id="4"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HICK-COLOR-1.png"/>
                        <pic:cNvPicPr/>
                      </pic:nvPicPr>
                      <pic:blipFill>
                        <a:blip r:embed="rId1">
                          <a:extLst>
                            <a:ext uri="{28A0092B-C50C-407E-A947-70E740481C1C}">
                              <a14:useLocalDpi xmlns:a14="http://schemas.microsoft.com/office/drawing/2010/main" val="0"/>
                            </a:ext>
                          </a:extLst>
                        </a:blip>
                        <a:stretch>
                          <a:fillRect/>
                        </a:stretch>
                      </pic:blipFill>
                      <pic:spPr>
                        <a:xfrm>
                          <a:off x="0" y="0"/>
                          <a:ext cx="1690322" cy="284329"/>
                        </a:xfrm>
                        <a:prstGeom prst="rect">
                          <a:avLst/>
                        </a:prstGeom>
                      </pic:spPr>
                    </pic:pic>
                  </a:graphicData>
                </a:graphic>
              </wp:inline>
            </w:drawing>
          </w:r>
        </w:p>
      </w:tc>
      <w:tc>
        <w:tcPr>
          <w:tcW w:w="12049" w:type="dxa"/>
          <w:shd w:val="clear" w:color="auto" w:fill="1F5E7D"/>
        </w:tcPr>
        <w:p w:rsidR="00DB64CD" w:rsidRDefault="00DB64CD" w:rsidP="00DB64CD">
          <w:pPr>
            <w:pStyle w:val="Footer"/>
            <w:spacing w:before="0"/>
          </w:pPr>
        </w:p>
      </w:tc>
    </w:tr>
  </w:tbl>
  <w:p w:rsidR="00DB64CD" w:rsidRDefault="00DB64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7196"/>
    </w:tblGrid>
    <w:tr w:rsidR="00DB64CD" w:rsidTr="00814E18">
      <w:trPr>
        <w:trHeight w:val="284"/>
      </w:trPr>
      <w:tc>
        <w:tcPr>
          <w:tcW w:w="1560" w:type="dxa"/>
          <w:shd w:val="clear" w:color="auto" w:fill="EF7F31"/>
          <w:vAlign w:val="center"/>
        </w:tcPr>
        <w:p w:rsidR="00DB64CD" w:rsidRPr="00FB323A" w:rsidRDefault="00DB64CD" w:rsidP="00814E18">
          <w:pPr>
            <w:pStyle w:val="Footer"/>
            <w:spacing w:before="0"/>
            <w:ind w:right="318"/>
            <w:jc w:val="right"/>
            <w:rPr>
              <w:rFonts w:ascii="Verdana" w:hAnsi="Verdana"/>
            </w:rPr>
          </w:pPr>
          <w:r w:rsidRPr="00FB323A">
            <w:rPr>
              <w:rFonts w:ascii="Verdana" w:hAnsi="Verdana"/>
              <w:color w:val="FFFFFF" w:themeColor="background1"/>
            </w:rPr>
            <w:fldChar w:fldCharType="begin"/>
          </w:r>
          <w:r w:rsidRPr="00FB323A">
            <w:rPr>
              <w:rFonts w:ascii="Verdana" w:hAnsi="Verdana"/>
              <w:color w:val="FFFFFF" w:themeColor="background1"/>
            </w:rPr>
            <w:instrText>PAGE   \* MERGEFORMAT</w:instrText>
          </w:r>
          <w:r w:rsidRPr="00FB323A">
            <w:rPr>
              <w:rFonts w:ascii="Verdana" w:hAnsi="Verdana"/>
              <w:color w:val="FFFFFF" w:themeColor="background1"/>
            </w:rPr>
            <w:fldChar w:fldCharType="separate"/>
          </w:r>
          <w:r w:rsidR="00DC05C7">
            <w:rPr>
              <w:rFonts w:ascii="Verdana" w:hAnsi="Verdana"/>
              <w:noProof/>
              <w:color w:val="FFFFFF" w:themeColor="background1"/>
            </w:rPr>
            <w:t>6</w:t>
          </w:r>
          <w:r w:rsidRPr="00FB323A">
            <w:rPr>
              <w:rFonts w:ascii="Verdana" w:hAnsi="Verdana"/>
              <w:color w:val="FFFFFF" w:themeColor="background1"/>
            </w:rPr>
            <w:fldChar w:fldCharType="end"/>
          </w:r>
        </w:p>
      </w:tc>
      <w:tc>
        <w:tcPr>
          <w:tcW w:w="3260" w:type="dxa"/>
        </w:tcPr>
        <w:p w:rsidR="00DB64CD" w:rsidRDefault="00DB64CD" w:rsidP="00814E18">
          <w:pPr>
            <w:pStyle w:val="Footer"/>
            <w:spacing w:before="0"/>
            <w:jc w:val="center"/>
            <w:rPr>
              <w:noProof/>
              <w:lang w:eastAsia="ro-RO"/>
            </w:rPr>
          </w:pPr>
          <w:r>
            <w:rPr>
              <w:noProof/>
              <w:lang w:val="en-US"/>
            </w:rPr>
            <w:drawing>
              <wp:inline distT="0" distB="0" distL="0" distR="0" wp14:anchorId="26C3DC48" wp14:editId="42E67000">
                <wp:extent cx="1627045" cy="273685"/>
                <wp:effectExtent l="0" t="0" r="0" b="0"/>
                <wp:docPr id="2"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HICK-COLOR-1.png"/>
                        <pic:cNvPicPr/>
                      </pic:nvPicPr>
                      <pic:blipFill>
                        <a:blip r:embed="rId1">
                          <a:extLst>
                            <a:ext uri="{28A0092B-C50C-407E-A947-70E740481C1C}">
                              <a14:useLocalDpi xmlns:a14="http://schemas.microsoft.com/office/drawing/2010/main" val="0"/>
                            </a:ext>
                          </a:extLst>
                        </a:blip>
                        <a:stretch>
                          <a:fillRect/>
                        </a:stretch>
                      </pic:blipFill>
                      <pic:spPr>
                        <a:xfrm>
                          <a:off x="0" y="0"/>
                          <a:ext cx="1690322" cy="284329"/>
                        </a:xfrm>
                        <a:prstGeom prst="rect">
                          <a:avLst/>
                        </a:prstGeom>
                      </pic:spPr>
                    </pic:pic>
                  </a:graphicData>
                </a:graphic>
              </wp:inline>
            </w:drawing>
          </w:r>
        </w:p>
      </w:tc>
      <w:tc>
        <w:tcPr>
          <w:tcW w:w="7196" w:type="dxa"/>
          <w:shd w:val="clear" w:color="auto" w:fill="1F5E7D"/>
        </w:tcPr>
        <w:p w:rsidR="00DB64CD" w:rsidRDefault="00DB64CD" w:rsidP="00814E18">
          <w:pPr>
            <w:pStyle w:val="Footer"/>
            <w:spacing w:before="0"/>
          </w:pPr>
        </w:p>
      </w:tc>
    </w:tr>
  </w:tbl>
  <w:p w:rsidR="00DB64CD" w:rsidRDefault="00D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27" w:rsidRDefault="00A93127" w:rsidP="00884B48">
      <w:pPr>
        <w:spacing w:before="0" w:after="0" w:line="240" w:lineRule="auto"/>
      </w:pPr>
      <w:r>
        <w:separator/>
      </w:r>
    </w:p>
  </w:footnote>
  <w:footnote w:type="continuationSeparator" w:id="0">
    <w:p w:rsidR="00A93127" w:rsidRDefault="00A93127" w:rsidP="00884B48">
      <w:pPr>
        <w:spacing w:before="0" w:after="0" w:line="240" w:lineRule="auto"/>
      </w:pPr>
      <w:r>
        <w:continuationSeparator/>
      </w:r>
    </w:p>
  </w:footnote>
  <w:footnote w:id="1">
    <w:p w:rsidR="00DB64CD" w:rsidRDefault="00DB64CD" w:rsidP="009F69EE">
      <w:pPr>
        <w:pStyle w:val="FootnoteText"/>
      </w:pPr>
      <w:r>
        <w:rPr>
          <w:rStyle w:val="FootnoteReference"/>
        </w:rPr>
        <w:footnoteRef/>
      </w:r>
      <w:r>
        <w:t xml:space="preserve"> </w:t>
      </w:r>
      <w:r w:rsidRPr="009F69EE">
        <w:t>Preparatory study on food waste across EU 27, Technical Report</w:t>
      </w:r>
      <w:r>
        <w:t xml:space="preserve">, 2010, </w:t>
      </w:r>
      <w:r w:rsidRPr="009F69EE">
        <w:t xml:space="preserve"> http://ec.europa.eu/environment/eussd/pdf/bio_foodwaste_report.pdf</w:t>
      </w:r>
    </w:p>
  </w:footnote>
  <w:footnote w:id="2">
    <w:p w:rsidR="00DB64CD" w:rsidRDefault="00DB64CD">
      <w:pPr>
        <w:pStyle w:val="FootnoteText"/>
      </w:pPr>
      <w:r>
        <w:rPr>
          <w:rStyle w:val="FootnoteReference"/>
        </w:rPr>
        <w:footnoteRef/>
      </w:r>
      <w:r>
        <w:t xml:space="preserve"> </w:t>
      </w:r>
      <w:hyperlink r:id="rId1" w:anchor="!forum/risipa_alimentara" w:history="1">
        <w:r w:rsidRPr="008C4BFA">
          <w:rPr>
            <w:rStyle w:val="Hyperlink"/>
          </w:rPr>
          <w:t>https://groups.google.com/forum/#!forum/risipa_alimentara</w:t>
        </w:r>
      </w:hyperlink>
      <w:r>
        <w:t>, prezentarea din 29.09.2014</w:t>
      </w:r>
    </w:p>
  </w:footnote>
  <w:footnote w:id="3">
    <w:p w:rsidR="00DB64CD" w:rsidRDefault="00DB64CD">
      <w:pPr>
        <w:pStyle w:val="FootnoteText"/>
      </w:pPr>
      <w:r>
        <w:rPr>
          <w:rStyle w:val="FootnoteReference"/>
        </w:rPr>
        <w:footnoteRef/>
      </w:r>
      <w:r>
        <w:t xml:space="preserve"> </w:t>
      </w:r>
      <w:r w:rsidRPr="00C55D83">
        <w:t>http://stiri.tvr.ro/o-strategie-nationala-pentru-reducerea-risipei-de-alimente_42524.html</w:t>
      </w:r>
    </w:p>
  </w:footnote>
  <w:footnote w:id="4">
    <w:p w:rsidR="00DB64CD" w:rsidRDefault="00DB64CD">
      <w:pPr>
        <w:pStyle w:val="FootnoteText"/>
      </w:pPr>
      <w:r>
        <w:rPr>
          <w:rStyle w:val="FootnoteReference"/>
        </w:rPr>
        <w:footnoteRef/>
      </w:r>
      <w:r>
        <w:t xml:space="preserve"> </w:t>
      </w:r>
      <w:hyperlink r:id="rId2" w:anchor="!forum/risipa_alimentara" w:history="1">
        <w:r w:rsidRPr="008C4BFA">
          <w:rPr>
            <w:rStyle w:val="Hyperlink"/>
          </w:rPr>
          <w:t>https://groups.google.com/forum/#!forum/risipa_alimentara</w:t>
        </w:r>
      </w:hyperlink>
      <w:r>
        <w:t>, prezentarea din 29.09.2014</w:t>
      </w:r>
    </w:p>
  </w:footnote>
  <w:footnote w:id="5">
    <w:p w:rsidR="00DB64CD" w:rsidRDefault="00DB64CD" w:rsidP="000B2F9A">
      <w:pPr>
        <w:pStyle w:val="FootnoteText"/>
      </w:pPr>
      <w:r>
        <w:rPr>
          <w:rStyle w:val="FootnoteReference"/>
        </w:rPr>
        <w:footnoteRef/>
      </w:r>
      <w:r>
        <w:t xml:space="preserve"> </w:t>
      </w:r>
      <w:r w:rsidRPr="00AC6367">
        <w:t>http://modernfarmer.com/2013/09/next-food-revolution-youre-eating/</w:t>
      </w:r>
    </w:p>
  </w:footnote>
  <w:footnote w:id="6">
    <w:p w:rsidR="00DB64CD" w:rsidRDefault="00DB64CD" w:rsidP="00763F9D">
      <w:pPr>
        <w:pStyle w:val="FootnoteText"/>
      </w:pPr>
      <w:r>
        <w:rPr>
          <w:rStyle w:val="FootnoteReference"/>
        </w:rPr>
        <w:footnoteRef/>
      </w:r>
      <w:r>
        <w:t xml:space="preserve"> </w:t>
      </w:r>
      <w:r w:rsidRPr="00617638">
        <w:t>http://www.masabucuriei.ro/beneficiari</w:t>
      </w:r>
    </w:p>
  </w:footnote>
  <w:footnote w:id="7">
    <w:p w:rsidR="00DB64CD" w:rsidRDefault="00DB64CD">
      <w:pPr>
        <w:pStyle w:val="FootnoteText"/>
      </w:pPr>
      <w:r>
        <w:rPr>
          <w:rStyle w:val="FootnoteReference"/>
        </w:rPr>
        <w:footnoteRef/>
      </w:r>
      <w:r>
        <w:t xml:space="preserve"> </w:t>
      </w:r>
      <w:r w:rsidRPr="009B4ABA">
        <w:t>http://patriarhia.ro/programul-masa-bucuriei-se-amplificA-8629.html</w:t>
      </w:r>
    </w:p>
  </w:footnote>
  <w:footnote w:id="8">
    <w:p w:rsidR="00DB64CD" w:rsidRDefault="00DB64CD" w:rsidP="00D1174E">
      <w:pPr>
        <w:pStyle w:val="FootnoteText"/>
      </w:pPr>
      <w:r w:rsidRPr="00AF7D73">
        <w:rPr>
          <w:rStyle w:val="FootnoteReference"/>
        </w:rPr>
        <w:footnoteRef/>
      </w:r>
      <w:r w:rsidRPr="00AF7D73">
        <w:t xml:space="preserve"> http://totb.ro/legea-impotriva-risipei-alimentare-interzice-magazinele-sociale-si-bancile-de-alimente/</w:t>
      </w:r>
    </w:p>
  </w:footnote>
  <w:footnote w:id="9">
    <w:p w:rsidR="00DB64CD" w:rsidRDefault="00DB64CD" w:rsidP="00374C40">
      <w:pPr>
        <w:pStyle w:val="FootnoteText"/>
      </w:pPr>
      <w:r w:rsidRPr="006A1432">
        <w:rPr>
          <w:rStyle w:val="FootnoteReference"/>
        </w:rPr>
        <w:footnoteRef/>
      </w:r>
      <w:r w:rsidRPr="006A1432">
        <w:t xml:space="preserve"> </w:t>
      </w:r>
      <w:r w:rsidRPr="00A84C5B">
        <w:t>http://foodwaste.ch/</w:t>
      </w:r>
    </w:p>
  </w:footnote>
  <w:footnote w:id="10">
    <w:p w:rsidR="00DB64CD" w:rsidRPr="006A1432" w:rsidRDefault="00DB64CD" w:rsidP="00374C40">
      <w:pPr>
        <w:pStyle w:val="FootnoteText"/>
      </w:pPr>
      <w:r w:rsidRPr="006A1432">
        <w:rPr>
          <w:rStyle w:val="FootnoteReference"/>
        </w:rPr>
        <w:footnoteRef/>
      </w:r>
      <w:r w:rsidRPr="006A1432">
        <w:t xml:space="preserve"> </w:t>
      </w:r>
      <w:hyperlink r:id="rId3" w:anchor="ixzz4F8s7XpCx" w:history="1">
        <w:r w:rsidRPr="006A1432">
          <w:t>http://www.wall-street.ro/articol/International/195214/un-magazin-ia-mancarea-pe-care-supermarketurile-ar-fi-aruncat-o-si-o-vinde-la-jumatate-de-pret.html#ixzz4F8s7XpCx</w:t>
        </w:r>
      </w:hyperlink>
      <w:r w:rsidRPr="006A1432">
        <w:rPr>
          <w:rStyle w:val="apple-converted-space"/>
          <w:rFonts w:ascii="Arial" w:hAnsi="Arial" w:cs="Arial"/>
          <w:color w:val="000000"/>
          <w:sz w:val="21"/>
          <w:szCs w:val="21"/>
        </w:rPr>
        <w:t> </w:t>
      </w:r>
    </w:p>
  </w:footnote>
  <w:footnote w:id="11">
    <w:p w:rsidR="00DB64CD" w:rsidRDefault="00DB64CD">
      <w:pPr>
        <w:pStyle w:val="FootnoteText"/>
      </w:pPr>
      <w:r>
        <w:rPr>
          <w:rStyle w:val="FootnoteReference"/>
        </w:rPr>
        <w:footnoteRef/>
      </w:r>
      <w:r>
        <w:t xml:space="preserve"> </w:t>
      </w:r>
      <w:r w:rsidRPr="00320299">
        <w:t>http://www.cdep.ro/pls/proiecte/upl_pck2015.proiect?idp=15013</w:t>
      </w:r>
    </w:p>
  </w:footnote>
  <w:footnote w:id="12">
    <w:p w:rsidR="00C16061" w:rsidRDefault="00C16061" w:rsidP="00C16061">
      <w:pPr>
        <w:pStyle w:val="FootnoteText"/>
      </w:pPr>
      <w:r>
        <w:rPr>
          <w:rStyle w:val="FootnoteReference"/>
        </w:rPr>
        <w:footnoteRef/>
      </w:r>
      <w:r>
        <w:t xml:space="preserve"> </w:t>
      </w:r>
      <w:r w:rsidRPr="00C16061">
        <w:t>http://www.eesc.europa.eu/resources/docs/executive-summary_comparative-study-on-eu-member-states-legislation-and-practices-on-food-donation.pdf</w:t>
      </w:r>
    </w:p>
  </w:footnote>
  <w:footnote w:id="13">
    <w:p w:rsidR="00266F51" w:rsidRDefault="00266F51">
      <w:pPr>
        <w:pStyle w:val="FootnoteText"/>
      </w:pPr>
      <w:r>
        <w:rPr>
          <w:rStyle w:val="FootnoteReference"/>
        </w:rPr>
        <w:footnoteRef/>
      </w:r>
      <w:r>
        <w:t xml:space="preserve"> </w:t>
      </w:r>
      <w:r w:rsidRPr="00266F51">
        <w:t>https://www.google.ro/url?sa=t&amp;rct=j&amp;q=&amp;esrc=s&amp;source=web&amp;cd=1&amp;cad=rja&amp;uact=8&amp;ved=0ahUKEwjMhIKL1PfMAhVLtBQKHaN6CzQQFgglMAA&amp;url=http%3A%2F%2Fwww.eu-fusions.org%2Findex.php%2Fdownload%3Fdownload%3D161%3Areview-of-eu-legislation-and-policies-with-implications-on-food-waste&amp;usg=AFQjCNGhOMy8WijOjIKD5scfxoi6W_yMdQ&amp;bvm=bv.122852650,d.d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6378"/>
      <w:gridCol w:w="1526"/>
    </w:tblGrid>
    <w:tr w:rsidR="00DB64CD" w:rsidTr="00DB64CD">
      <w:tc>
        <w:tcPr>
          <w:tcW w:w="4112" w:type="dxa"/>
          <w:tcBorders>
            <w:bottom w:val="single" w:sz="12" w:space="0" w:color="1F5E7D"/>
          </w:tcBorders>
        </w:tcPr>
        <w:p w:rsidR="00DB64CD" w:rsidRPr="008059AA" w:rsidRDefault="00DB64CD" w:rsidP="00DB64CD">
          <w:pPr>
            <w:pStyle w:val="Header"/>
            <w:spacing w:before="0"/>
            <w:jc w:val="center"/>
            <w:rPr>
              <w:sz w:val="20"/>
              <w:szCs w:val="20"/>
            </w:rPr>
          </w:pPr>
          <w:r>
            <w:rPr>
              <w:sz w:val="20"/>
              <w:szCs w:val="20"/>
            </w:rPr>
            <w:t>MaiMultVerde</w:t>
          </w:r>
        </w:p>
      </w:tc>
      <w:tc>
        <w:tcPr>
          <w:tcW w:w="6378" w:type="dxa"/>
          <w:tcBorders>
            <w:bottom w:val="single" w:sz="12" w:space="0" w:color="EF7F31"/>
          </w:tcBorders>
        </w:tcPr>
        <w:p w:rsidR="00DB64CD" w:rsidRPr="008059AA" w:rsidRDefault="00DB64CD" w:rsidP="00DB64CD">
          <w:pPr>
            <w:spacing w:before="0" w:after="0" w:line="240" w:lineRule="auto"/>
            <w:jc w:val="right"/>
            <w:rPr>
              <w:rFonts w:cs="Arial"/>
              <w:sz w:val="20"/>
              <w:szCs w:val="20"/>
            </w:rPr>
          </w:pPr>
          <w:r w:rsidRPr="00F52992">
            <w:rPr>
              <w:rFonts w:cs="Arial"/>
              <w:sz w:val="20"/>
              <w:szCs w:val="20"/>
            </w:rPr>
            <w:t>România împotriva risipei de hrană</w:t>
          </w:r>
        </w:p>
      </w:tc>
      <w:tc>
        <w:tcPr>
          <w:tcW w:w="1526" w:type="dxa"/>
          <w:tcBorders>
            <w:bottom w:val="single" w:sz="12" w:space="0" w:color="EF7F31"/>
          </w:tcBorders>
        </w:tcPr>
        <w:p w:rsidR="00DB64CD" w:rsidRPr="00DC05C7" w:rsidRDefault="00DB64CD" w:rsidP="00DB64CD">
          <w:pPr>
            <w:pStyle w:val="Header"/>
            <w:spacing w:before="0"/>
            <w:jc w:val="right"/>
            <w:rPr>
              <w:sz w:val="20"/>
              <w:szCs w:val="20"/>
              <w:lang w:val="fr-FR"/>
            </w:rPr>
          </w:pPr>
        </w:p>
      </w:tc>
    </w:tr>
    <w:tr w:rsidR="00DB64CD" w:rsidTr="00DB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single" w:sz="12" w:space="0" w:color="1F5E7D"/>
            <w:left w:val="nil"/>
            <w:bottom w:val="nil"/>
            <w:right w:val="nil"/>
          </w:tcBorders>
        </w:tcPr>
        <w:p w:rsidR="00DB64CD" w:rsidRPr="008059AA" w:rsidRDefault="00DB64CD" w:rsidP="00DB64CD">
          <w:pPr>
            <w:pStyle w:val="Header"/>
            <w:jc w:val="right"/>
            <w:rPr>
              <w:sz w:val="20"/>
              <w:szCs w:val="20"/>
            </w:rPr>
          </w:pPr>
        </w:p>
      </w:tc>
      <w:sdt>
        <w:sdtPr>
          <w:rPr>
            <w:sz w:val="20"/>
            <w:szCs w:val="20"/>
          </w:rPr>
          <w:alias w:val="Title"/>
          <w:tag w:val=""/>
          <w:id w:val="-1080296755"/>
          <w:placeholder>
            <w:docPart w:val="0783A1D82D1745269893D11E17B6A612"/>
          </w:placeholder>
          <w:dataBinding w:prefixMappings="xmlns:ns0='http://purl.org/dc/elements/1.1/' xmlns:ns1='http://schemas.openxmlformats.org/package/2006/metadata/core-properties' " w:xpath="/ns1:coreProperties[1]/ns0:title[1]" w:storeItemID="{6C3C8BC8-F283-45AE-878A-BAB7291924A1}"/>
          <w:text/>
        </w:sdtPr>
        <w:sdtEndPr/>
        <w:sdtContent>
          <w:tc>
            <w:tcPr>
              <w:tcW w:w="6378" w:type="dxa"/>
              <w:tcBorders>
                <w:top w:val="single" w:sz="12" w:space="0" w:color="EF7F31"/>
                <w:left w:val="nil"/>
                <w:bottom w:val="nil"/>
                <w:right w:val="nil"/>
              </w:tcBorders>
            </w:tcPr>
            <w:p w:rsidR="00DB64CD" w:rsidRPr="008059AA" w:rsidRDefault="00DB64CD" w:rsidP="00DB64CD">
              <w:pPr>
                <w:pStyle w:val="Header"/>
                <w:spacing w:before="0"/>
                <w:jc w:val="right"/>
                <w:rPr>
                  <w:sz w:val="20"/>
                  <w:szCs w:val="20"/>
                </w:rPr>
              </w:pPr>
              <w:r>
                <w:rPr>
                  <w:sz w:val="20"/>
                  <w:szCs w:val="20"/>
                </w:rPr>
                <w:t>Studiu privind risipa de hrană în România _MMV_sinteza</w:t>
              </w:r>
            </w:p>
          </w:tc>
        </w:sdtContent>
      </w:sdt>
      <w:tc>
        <w:tcPr>
          <w:tcW w:w="1526" w:type="dxa"/>
          <w:tcBorders>
            <w:top w:val="single" w:sz="12" w:space="0" w:color="EF7F31"/>
            <w:left w:val="nil"/>
            <w:bottom w:val="nil"/>
            <w:right w:val="nil"/>
          </w:tcBorders>
        </w:tcPr>
        <w:p w:rsidR="00DB64CD" w:rsidRDefault="00DB64CD" w:rsidP="00DB64CD">
          <w:pPr>
            <w:pStyle w:val="Header"/>
            <w:spacing w:before="0"/>
            <w:jc w:val="right"/>
            <w:rPr>
              <w:sz w:val="20"/>
              <w:szCs w:val="20"/>
              <w:lang w:val="en-US"/>
            </w:rPr>
          </w:pPr>
        </w:p>
      </w:tc>
    </w:tr>
  </w:tbl>
  <w:p w:rsidR="00DB64CD" w:rsidRDefault="00DB6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6378"/>
      <w:gridCol w:w="1526"/>
    </w:tblGrid>
    <w:tr w:rsidR="00DB64CD" w:rsidTr="00814E18">
      <w:tc>
        <w:tcPr>
          <w:tcW w:w="4112" w:type="dxa"/>
          <w:tcBorders>
            <w:bottom w:val="single" w:sz="12" w:space="0" w:color="1F5E7D"/>
          </w:tcBorders>
        </w:tcPr>
        <w:p w:rsidR="00DB64CD" w:rsidRPr="008059AA" w:rsidRDefault="00DB64CD" w:rsidP="00814E18">
          <w:pPr>
            <w:pStyle w:val="Header"/>
            <w:spacing w:before="0"/>
            <w:jc w:val="center"/>
            <w:rPr>
              <w:sz w:val="20"/>
              <w:szCs w:val="20"/>
            </w:rPr>
          </w:pPr>
          <w:r>
            <w:rPr>
              <w:sz w:val="20"/>
              <w:szCs w:val="20"/>
            </w:rPr>
            <w:t>MaiMultVerde</w:t>
          </w:r>
        </w:p>
      </w:tc>
      <w:tc>
        <w:tcPr>
          <w:tcW w:w="6378" w:type="dxa"/>
          <w:tcBorders>
            <w:bottom w:val="single" w:sz="12" w:space="0" w:color="EF7F31"/>
          </w:tcBorders>
        </w:tcPr>
        <w:p w:rsidR="00DB64CD" w:rsidRPr="008059AA" w:rsidRDefault="00DB64CD" w:rsidP="00814E18">
          <w:pPr>
            <w:spacing w:before="0" w:after="0" w:line="240" w:lineRule="auto"/>
            <w:jc w:val="right"/>
            <w:rPr>
              <w:rFonts w:cs="Arial"/>
              <w:sz w:val="20"/>
              <w:szCs w:val="20"/>
            </w:rPr>
          </w:pPr>
          <w:r w:rsidRPr="00F52992">
            <w:rPr>
              <w:rFonts w:cs="Arial"/>
              <w:sz w:val="20"/>
              <w:szCs w:val="20"/>
            </w:rPr>
            <w:t>România împotriva risipei de hrană</w:t>
          </w:r>
        </w:p>
      </w:tc>
      <w:tc>
        <w:tcPr>
          <w:tcW w:w="1526" w:type="dxa"/>
          <w:tcBorders>
            <w:bottom w:val="single" w:sz="12" w:space="0" w:color="EF7F31"/>
          </w:tcBorders>
        </w:tcPr>
        <w:p w:rsidR="00DB64CD" w:rsidRPr="00DC05C7" w:rsidRDefault="00DB64CD" w:rsidP="00814E18">
          <w:pPr>
            <w:pStyle w:val="Header"/>
            <w:spacing w:before="0"/>
            <w:jc w:val="right"/>
            <w:rPr>
              <w:sz w:val="20"/>
              <w:szCs w:val="20"/>
              <w:lang w:val="fr-FR"/>
            </w:rPr>
          </w:pPr>
        </w:p>
      </w:tc>
    </w:tr>
    <w:tr w:rsidR="00DB64CD" w:rsidTr="0081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single" w:sz="12" w:space="0" w:color="1F5E7D"/>
            <w:left w:val="nil"/>
            <w:bottom w:val="nil"/>
            <w:right w:val="nil"/>
          </w:tcBorders>
        </w:tcPr>
        <w:p w:rsidR="00DB64CD" w:rsidRPr="008059AA" w:rsidRDefault="00DB64CD" w:rsidP="00814E18">
          <w:pPr>
            <w:pStyle w:val="Header"/>
            <w:jc w:val="right"/>
            <w:rPr>
              <w:sz w:val="20"/>
              <w:szCs w:val="20"/>
            </w:rPr>
          </w:pPr>
        </w:p>
      </w:tc>
      <w:sdt>
        <w:sdtPr>
          <w:rPr>
            <w:sz w:val="20"/>
            <w:szCs w:val="20"/>
          </w:rPr>
          <w:alias w:val="Title"/>
          <w:tag w:val=""/>
          <w:id w:val="-426968329"/>
          <w:placeholder>
            <w:docPart w:val="DE77F979A8174F9A865CE6263E399875"/>
          </w:placeholder>
          <w:dataBinding w:prefixMappings="xmlns:ns0='http://purl.org/dc/elements/1.1/' xmlns:ns1='http://schemas.openxmlformats.org/package/2006/metadata/core-properties' " w:xpath="/ns1:coreProperties[1]/ns0:title[1]" w:storeItemID="{6C3C8BC8-F283-45AE-878A-BAB7291924A1}"/>
          <w:text/>
        </w:sdtPr>
        <w:sdtEndPr/>
        <w:sdtContent>
          <w:tc>
            <w:tcPr>
              <w:tcW w:w="6378" w:type="dxa"/>
              <w:tcBorders>
                <w:top w:val="single" w:sz="12" w:space="0" w:color="EF7F31"/>
                <w:left w:val="nil"/>
                <w:bottom w:val="nil"/>
                <w:right w:val="nil"/>
              </w:tcBorders>
            </w:tcPr>
            <w:p w:rsidR="00DB64CD" w:rsidRPr="008059AA" w:rsidRDefault="00DB64CD" w:rsidP="00814E18">
              <w:pPr>
                <w:pStyle w:val="Header"/>
                <w:spacing w:before="0"/>
                <w:jc w:val="right"/>
                <w:rPr>
                  <w:sz w:val="20"/>
                  <w:szCs w:val="20"/>
                </w:rPr>
              </w:pPr>
              <w:r>
                <w:rPr>
                  <w:sz w:val="20"/>
                  <w:szCs w:val="20"/>
                </w:rPr>
                <w:t>Studiu privind risipa de hrană în România _MMV_sinteza</w:t>
              </w:r>
            </w:p>
          </w:tc>
        </w:sdtContent>
      </w:sdt>
      <w:tc>
        <w:tcPr>
          <w:tcW w:w="1526" w:type="dxa"/>
          <w:tcBorders>
            <w:top w:val="single" w:sz="12" w:space="0" w:color="EF7F31"/>
            <w:left w:val="nil"/>
            <w:bottom w:val="nil"/>
            <w:right w:val="nil"/>
          </w:tcBorders>
        </w:tcPr>
        <w:p w:rsidR="00DB64CD" w:rsidRDefault="00DB64CD" w:rsidP="00814E18">
          <w:pPr>
            <w:pStyle w:val="Header"/>
            <w:spacing w:before="0"/>
            <w:jc w:val="right"/>
            <w:rPr>
              <w:sz w:val="20"/>
              <w:szCs w:val="20"/>
              <w:lang w:val="en-US"/>
            </w:rPr>
          </w:pPr>
        </w:p>
      </w:tc>
    </w:tr>
  </w:tbl>
  <w:p w:rsidR="00DB64CD" w:rsidRPr="00A849A2" w:rsidRDefault="00DB64CD" w:rsidP="00A84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97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1339"/>
      <w:gridCol w:w="1526"/>
    </w:tblGrid>
    <w:tr w:rsidR="00DB64CD" w:rsidTr="00DB64CD">
      <w:tc>
        <w:tcPr>
          <w:tcW w:w="4112" w:type="dxa"/>
          <w:tcBorders>
            <w:bottom w:val="single" w:sz="12" w:space="0" w:color="1F5E7D"/>
          </w:tcBorders>
        </w:tcPr>
        <w:p w:rsidR="00DB64CD" w:rsidRPr="008059AA" w:rsidRDefault="00DB64CD" w:rsidP="00DB64CD">
          <w:pPr>
            <w:pStyle w:val="Header"/>
            <w:spacing w:before="0"/>
            <w:jc w:val="center"/>
            <w:rPr>
              <w:sz w:val="20"/>
              <w:szCs w:val="20"/>
            </w:rPr>
          </w:pPr>
          <w:r>
            <w:rPr>
              <w:sz w:val="20"/>
              <w:szCs w:val="20"/>
            </w:rPr>
            <w:t>MaiMultVerde</w:t>
          </w:r>
        </w:p>
      </w:tc>
      <w:tc>
        <w:tcPr>
          <w:tcW w:w="11339" w:type="dxa"/>
          <w:tcBorders>
            <w:bottom w:val="single" w:sz="12" w:space="0" w:color="EF7F31"/>
          </w:tcBorders>
        </w:tcPr>
        <w:p w:rsidR="00DB64CD" w:rsidRPr="008059AA" w:rsidRDefault="00DB64CD" w:rsidP="00DB64CD">
          <w:pPr>
            <w:spacing w:before="0" w:after="0" w:line="240" w:lineRule="auto"/>
            <w:jc w:val="right"/>
            <w:rPr>
              <w:rFonts w:cs="Arial"/>
              <w:sz w:val="20"/>
              <w:szCs w:val="20"/>
            </w:rPr>
          </w:pPr>
          <w:r w:rsidRPr="00F52992">
            <w:rPr>
              <w:rFonts w:cs="Arial"/>
              <w:sz w:val="20"/>
              <w:szCs w:val="20"/>
            </w:rPr>
            <w:t>România împotriva risipei de hrană</w:t>
          </w:r>
        </w:p>
      </w:tc>
      <w:tc>
        <w:tcPr>
          <w:tcW w:w="1526" w:type="dxa"/>
          <w:tcBorders>
            <w:bottom w:val="single" w:sz="12" w:space="0" w:color="EF7F31"/>
          </w:tcBorders>
        </w:tcPr>
        <w:p w:rsidR="00DB64CD" w:rsidRPr="00DC05C7" w:rsidRDefault="00DB64CD" w:rsidP="00DB64CD">
          <w:pPr>
            <w:pStyle w:val="Header"/>
            <w:spacing w:before="0"/>
            <w:jc w:val="right"/>
            <w:rPr>
              <w:sz w:val="20"/>
              <w:szCs w:val="20"/>
              <w:lang w:val="fr-FR"/>
            </w:rPr>
          </w:pPr>
        </w:p>
      </w:tc>
    </w:tr>
    <w:tr w:rsidR="00DB64CD" w:rsidTr="00DB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single" w:sz="12" w:space="0" w:color="1F5E7D"/>
            <w:left w:val="nil"/>
            <w:bottom w:val="nil"/>
            <w:right w:val="nil"/>
          </w:tcBorders>
        </w:tcPr>
        <w:p w:rsidR="00DB64CD" w:rsidRPr="008059AA" w:rsidRDefault="00DB64CD" w:rsidP="00DB64CD">
          <w:pPr>
            <w:pStyle w:val="Header"/>
            <w:jc w:val="right"/>
            <w:rPr>
              <w:sz w:val="20"/>
              <w:szCs w:val="20"/>
            </w:rPr>
          </w:pPr>
        </w:p>
      </w:tc>
      <w:sdt>
        <w:sdtPr>
          <w:rPr>
            <w:sz w:val="20"/>
            <w:szCs w:val="20"/>
          </w:rPr>
          <w:alias w:val="Title"/>
          <w:tag w:val=""/>
          <w:id w:val="412748999"/>
          <w:placeholder>
            <w:docPart w:val="AACD4DEA24734831A3C74E9BC4F204DA"/>
          </w:placeholder>
          <w:dataBinding w:prefixMappings="xmlns:ns0='http://purl.org/dc/elements/1.1/' xmlns:ns1='http://schemas.openxmlformats.org/package/2006/metadata/core-properties' " w:xpath="/ns1:coreProperties[1]/ns0:title[1]" w:storeItemID="{6C3C8BC8-F283-45AE-878A-BAB7291924A1}"/>
          <w:text/>
        </w:sdtPr>
        <w:sdtEndPr/>
        <w:sdtContent>
          <w:tc>
            <w:tcPr>
              <w:tcW w:w="11339" w:type="dxa"/>
              <w:tcBorders>
                <w:top w:val="single" w:sz="12" w:space="0" w:color="EF7F31"/>
                <w:left w:val="nil"/>
                <w:bottom w:val="nil"/>
                <w:right w:val="nil"/>
              </w:tcBorders>
            </w:tcPr>
            <w:p w:rsidR="00DB64CD" w:rsidRPr="008059AA" w:rsidRDefault="00DB64CD" w:rsidP="00DB64CD">
              <w:pPr>
                <w:pStyle w:val="Header"/>
                <w:spacing w:before="0"/>
                <w:jc w:val="right"/>
                <w:rPr>
                  <w:sz w:val="20"/>
                  <w:szCs w:val="20"/>
                </w:rPr>
              </w:pPr>
              <w:r>
                <w:rPr>
                  <w:sz w:val="20"/>
                  <w:szCs w:val="20"/>
                </w:rPr>
                <w:t>Studiu privind risipa de hrană în România _MMV_sinteza</w:t>
              </w:r>
            </w:p>
          </w:tc>
        </w:sdtContent>
      </w:sdt>
      <w:tc>
        <w:tcPr>
          <w:tcW w:w="1526" w:type="dxa"/>
          <w:tcBorders>
            <w:top w:val="single" w:sz="12" w:space="0" w:color="EF7F31"/>
            <w:left w:val="nil"/>
            <w:bottom w:val="nil"/>
            <w:right w:val="nil"/>
          </w:tcBorders>
        </w:tcPr>
        <w:p w:rsidR="00DB64CD" w:rsidRDefault="00DB64CD" w:rsidP="00DB64CD">
          <w:pPr>
            <w:pStyle w:val="Header"/>
            <w:spacing w:before="0"/>
            <w:jc w:val="right"/>
            <w:rPr>
              <w:sz w:val="20"/>
              <w:szCs w:val="20"/>
              <w:lang w:val="en-US"/>
            </w:rPr>
          </w:pPr>
        </w:p>
      </w:tc>
    </w:tr>
  </w:tbl>
  <w:p w:rsidR="00DB64CD" w:rsidRDefault="00DB64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97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1339"/>
      <w:gridCol w:w="1526"/>
    </w:tblGrid>
    <w:tr w:rsidR="00DB64CD" w:rsidTr="004676B6">
      <w:tc>
        <w:tcPr>
          <w:tcW w:w="4112" w:type="dxa"/>
          <w:tcBorders>
            <w:bottom w:val="single" w:sz="12" w:space="0" w:color="1F5E7D"/>
          </w:tcBorders>
        </w:tcPr>
        <w:p w:rsidR="00DB64CD" w:rsidRPr="008059AA" w:rsidRDefault="00DB64CD" w:rsidP="00814E18">
          <w:pPr>
            <w:pStyle w:val="Header"/>
            <w:spacing w:before="0"/>
            <w:jc w:val="center"/>
            <w:rPr>
              <w:sz w:val="20"/>
              <w:szCs w:val="20"/>
            </w:rPr>
          </w:pPr>
          <w:r>
            <w:rPr>
              <w:sz w:val="20"/>
              <w:szCs w:val="20"/>
            </w:rPr>
            <w:t>MaiMultVerde</w:t>
          </w:r>
        </w:p>
      </w:tc>
      <w:tc>
        <w:tcPr>
          <w:tcW w:w="11339" w:type="dxa"/>
          <w:tcBorders>
            <w:bottom w:val="single" w:sz="12" w:space="0" w:color="EF7F31"/>
          </w:tcBorders>
        </w:tcPr>
        <w:p w:rsidR="00DB64CD" w:rsidRPr="008059AA" w:rsidRDefault="00DB64CD" w:rsidP="00814E18">
          <w:pPr>
            <w:spacing w:before="0" w:after="0" w:line="240" w:lineRule="auto"/>
            <w:jc w:val="right"/>
            <w:rPr>
              <w:rFonts w:cs="Arial"/>
              <w:sz w:val="20"/>
              <w:szCs w:val="20"/>
            </w:rPr>
          </w:pPr>
          <w:r w:rsidRPr="00F52992">
            <w:rPr>
              <w:rFonts w:cs="Arial"/>
              <w:sz w:val="20"/>
              <w:szCs w:val="20"/>
            </w:rPr>
            <w:t>România împotriva risipei de hrană</w:t>
          </w:r>
        </w:p>
      </w:tc>
      <w:tc>
        <w:tcPr>
          <w:tcW w:w="1526" w:type="dxa"/>
          <w:tcBorders>
            <w:bottom w:val="single" w:sz="12" w:space="0" w:color="EF7F31"/>
          </w:tcBorders>
        </w:tcPr>
        <w:p w:rsidR="00DB64CD" w:rsidRPr="00DC05C7" w:rsidRDefault="00DB64CD" w:rsidP="00814E18">
          <w:pPr>
            <w:pStyle w:val="Header"/>
            <w:spacing w:before="0"/>
            <w:jc w:val="right"/>
            <w:rPr>
              <w:sz w:val="20"/>
              <w:szCs w:val="20"/>
              <w:lang w:val="fr-FR"/>
            </w:rPr>
          </w:pPr>
        </w:p>
      </w:tc>
    </w:tr>
    <w:tr w:rsidR="00DB64CD" w:rsidTr="00467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single" w:sz="12" w:space="0" w:color="1F5E7D"/>
            <w:left w:val="nil"/>
            <w:bottom w:val="nil"/>
            <w:right w:val="nil"/>
          </w:tcBorders>
        </w:tcPr>
        <w:p w:rsidR="00DB64CD" w:rsidRPr="008059AA" w:rsidRDefault="00DB64CD" w:rsidP="00814E18">
          <w:pPr>
            <w:pStyle w:val="Header"/>
            <w:jc w:val="right"/>
            <w:rPr>
              <w:sz w:val="20"/>
              <w:szCs w:val="20"/>
            </w:rPr>
          </w:pPr>
        </w:p>
      </w:tc>
      <w:sdt>
        <w:sdtPr>
          <w:rPr>
            <w:sz w:val="20"/>
            <w:szCs w:val="20"/>
          </w:rPr>
          <w:alias w:val="Title"/>
          <w:tag w:val=""/>
          <w:id w:val="-318960248"/>
          <w:placeholder>
            <w:docPart w:val="1EF1EEAE2F1A4A3DBBB410695D968377"/>
          </w:placeholder>
          <w:dataBinding w:prefixMappings="xmlns:ns0='http://purl.org/dc/elements/1.1/' xmlns:ns1='http://schemas.openxmlformats.org/package/2006/metadata/core-properties' " w:xpath="/ns1:coreProperties[1]/ns0:title[1]" w:storeItemID="{6C3C8BC8-F283-45AE-878A-BAB7291924A1}"/>
          <w:text/>
        </w:sdtPr>
        <w:sdtEndPr/>
        <w:sdtContent>
          <w:tc>
            <w:tcPr>
              <w:tcW w:w="11339" w:type="dxa"/>
              <w:tcBorders>
                <w:top w:val="single" w:sz="12" w:space="0" w:color="EF7F31"/>
                <w:left w:val="nil"/>
                <w:bottom w:val="nil"/>
                <w:right w:val="nil"/>
              </w:tcBorders>
            </w:tcPr>
            <w:p w:rsidR="00DB64CD" w:rsidRPr="008059AA" w:rsidRDefault="00DB64CD" w:rsidP="00814E18">
              <w:pPr>
                <w:pStyle w:val="Header"/>
                <w:spacing w:before="0"/>
                <w:jc w:val="right"/>
                <w:rPr>
                  <w:sz w:val="20"/>
                  <w:szCs w:val="20"/>
                </w:rPr>
              </w:pPr>
              <w:r>
                <w:rPr>
                  <w:sz w:val="20"/>
                  <w:szCs w:val="20"/>
                </w:rPr>
                <w:t>Studiu privind risipa de hrană în România _MMV_sinteza</w:t>
              </w:r>
            </w:p>
          </w:tc>
        </w:sdtContent>
      </w:sdt>
      <w:tc>
        <w:tcPr>
          <w:tcW w:w="1526" w:type="dxa"/>
          <w:tcBorders>
            <w:top w:val="single" w:sz="12" w:space="0" w:color="EF7F31"/>
            <w:left w:val="nil"/>
            <w:bottom w:val="nil"/>
            <w:right w:val="nil"/>
          </w:tcBorders>
        </w:tcPr>
        <w:p w:rsidR="00DB64CD" w:rsidRDefault="00DB64CD" w:rsidP="00814E18">
          <w:pPr>
            <w:pStyle w:val="Header"/>
            <w:spacing w:before="0"/>
            <w:jc w:val="right"/>
            <w:rPr>
              <w:sz w:val="20"/>
              <w:szCs w:val="20"/>
              <w:lang w:val="en-US"/>
            </w:rPr>
          </w:pPr>
        </w:p>
      </w:tc>
    </w:tr>
  </w:tbl>
  <w:p w:rsidR="00DB64CD" w:rsidRPr="00A849A2" w:rsidRDefault="00DB64CD" w:rsidP="00A849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6378"/>
      <w:gridCol w:w="1526"/>
    </w:tblGrid>
    <w:tr w:rsidR="00DB64CD" w:rsidTr="00DB64CD">
      <w:tc>
        <w:tcPr>
          <w:tcW w:w="4112" w:type="dxa"/>
          <w:tcBorders>
            <w:bottom w:val="single" w:sz="12" w:space="0" w:color="1F5E7D"/>
          </w:tcBorders>
        </w:tcPr>
        <w:p w:rsidR="00DB64CD" w:rsidRPr="008059AA" w:rsidRDefault="00DB64CD" w:rsidP="00DB64CD">
          <w:pPr>
            <w:pStyle w:val="Header"/>
            <w:spacing w:before="0"/>
            <w:jc w:val="center"/>
            <w:rPr>
              <w:sz w:val="20"/>
              <w:szCs w:val="20"/>
            </w:rPr>
          </w:pPr>
          <w:r>
            <w:rPr>
              <w:sz w:val="20"/>
              <w:szCs w:val="20"/>
            </w:rPr>
            <w:t>MaiMultVerde</w:t>
          </w:r>
        </w:p>
      </w:tc>
      <w:tc>
        <w:tcPr>
          <w:tcW w:w="6378" w:type="dxa"/>
          <w:tcBorders>
            <w:bottom w:val="single" w:sz="12" w:space="0" w:color="EF7F31"/>
          </w:tcBorders>
        </w:tcPr>
        <w:p w:rsidR="00DB64CD" w:rsidRPr="008059AA" w:rsidRDefault="00DB64CD" w:rsidP="00DB64CD">
          <w:pPr>
            <w:spacing w:before="0" w:after="0" w:line="240" w:lineRule="auto"/>
            <w:jc w:val="right"/>
            <w:rPr>
              <w:rFonts w:cs="Arial"/>
              <w:sz w:val="20"/>
              <w:szCs w:val="20"/>
            </w:rPr>
          </w:pPr>
          <w:r w:rsidRPr="00F52992">
            <w:rPr>
              <w:rFonts w:cs="Arial"/>
              <w:sz w:val="20"/>
              <w:szCs w:val="20"/>
            </w:rPr>
            <w:t>România împotriva risipei de hrană</w:t>
          </w:r>
        </w:p>
      </w:tc>
      <w:tc>
        <w:tcPr>
          <w:tcW w:w="1526" w:type="dxa"/>
          <w:tcBorders>
            <w:bottom w:val="single" w:sz="12" w:space="0" w:color="EF7F31"/>
          </w:tcBorders>
        </w:tcPr>
        <w:p w:rsidR="00DB64CD" w:rsidRPr="00DC05C7" w:rsidRDefault="00DB64CD" w:rsidP="00DB64CD">
          <w:pPr>
            <w:pStyle w:val="Header"/>
            <w:spacing w:before="0"/>
            <w:jc w:val="right"/>
            <w:rPr>
              <w:sz w:val="20"/>
              <w:szCs w:val="20"/>
              <w:lang w:val="fr-FR"/>
            </w:rPr>
          </w:pPr>
        </w:p>
      </w:tc>
    </w:tr>
    <w:tr w:rsidR="00DB64CD" w:rsidTr="00DB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single" w:sz="12" w:space="0" w:color="1F5E7D"/>
            <w:left w:val="nil"/>
            <w:bottom w:val="nil"/>
            <w:right w:val="nil"/>
          </w:tcBorders>
        </w:tcPr>
        <w:p w:rsidR="00DB64CD" w:rsidRPr="008059AA" w:rsidRDefault="00DB64CD" w:rsidP="00DB64CD">
          <w:pPr>
            <w:pStyle w:val="Header"/>
            <w:jc w:val="right"/>
            <w:rPr>
              <w:sz w:val="20"/>
              <w:szCs w:val="20"/>
            </w:rPr>
          </w:pPr>
        </w:p>
      </w:tc>
      <w:sdt>
        <w:sdtPr>
          <w:rPr>
            <w:sz w:val="20"/>
            <w:szCs w:val="20"/>
          </w:rPr>
          <w:alias w:val="Title"/>
          <w:tag w:val=""/>
          <w:id w:val="177627197"/>
          <w:placeholder>
            <w:docPart w:val="921273222F684E1CB26FE3CAADDB9519"/>
          </w:placeholder>
          <w:dataBinding w:prefixMappings="xmlns:ns0='http://purl.org/dc/elements/1.1/' xmlns:ns1='http://schemas.openxmlformats.org/package/2006/metadata/core-properties' " w:xpath="/ns1:coreProperties[1]/ns0:title[1]" w:storeItemID="{6C3C8BC8-F283-45AE-878A-BAB7291924A1}"/>
          <w:text/>
        </w:sdtPr>
        <w:sdtEndPr/>
        <w:sdtContent>
          <w:tc>
            <w:tcPr>
              <w:tcW w:w="6378" w:type="dxa"/>
              <w:tcBorders>
                <w:top w:val="single" w:sz="12" w:space="0" w:color="EF7F31"/>
                <w:left w:val="nil"/>
                <w:bottom w:val="nil"/>
                <w:right w:val="nil"/>
              </w:tcBorders>
            </w:tcPr>
            <w:p w:rsidR="00DB64CD" w:rsidRPr="008059AA" w:rsidRDefault="00DB64CD" w:rsidP="00DB64CD">
              <w:pPr>
                <w:pStyle w:val="Header"/>
                <w:spacing w:before="0"/>
                <w:jc w:val="right"/>
                <w:rPr>
                  <w:sz w:val="20"/>
                  <w:szCs w:val="20"/>
                </w:rPr>
              </w:pPr>
              <w:r>
                <w:rPr>
                  <w:sz w:val="20"/>
                  <w:szCs w:val="20"/>
                </w:rPr>
                <w:t>Studiu privind risipa de hrană în România _MMV_sinteza</w:t>
              </w:r>
            </w:p>
          </w:tc>
        </w:sdtContent>
      </w:sdt>
      <w:tc>
        <w:tcPr>
          <w:tcW w:w="1526" w:type="dxa"/>
          <w:tcBorders>
            <w:top w:val="single" w:sz="12" w:space="0" w:color="EF7F31"/>
            <w:left w:val="nil"/>
            <w:bottom w:val="nil"/>
            <w:right w:val="nil"/>
          </w:tcBorders>
        </w:tcPr>
        <w:p w:rsidR="00DB64CD" w:rsidRDefault="00DB64CD" w:rsidP="00DB64CD">
          <w:pPr>
            <w:pStyle w:val="Header"/>
            <w:spacing w:before="0"/>
            <w:jc w:val="right"/>
            <w:rPr>
              <w:sz w:val="20"/>
              <w:szCs w:val="20"/>
              <w:lang w:val="en-US"/>
            </w:rPr>
          </w:pPr>
        </w:p>
      </w:tc>
    </w:tr>
  </w:tbl>
  <w:p w:rsidR="00DB64CD" w:rsidRDefault="00DB64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6378"/>
      <w:gridCol w:w="1526"/>
    </w:tblGrid>
    <w:tr w:rsidR="00DB64CD" w:rsidTr="00814E18">
      <w:tc>
        <w:tcPr>
          <w:tcW w:w="4112" w:type="dxa"/>
          <w:tcBorders>
            <w:bottom w:val="single" w:sz="12" w:space="0" w:color="1F5E7D"/>
          </w:tcBorders>
        </w:tcPr>
        <w:p w:rsidR="00DB64CD" w:rsidRPr="008059AA" w:rsidRDefault="00DB64CD" w:rsidP="00814E18">
          <w:pPr>
            <w:pStyle w:val="Header"/>
            <w:spacing w:before="0"/>
            <w:jc w:val="center"/>
            <w:rPr>
              <w:sz w:val="20"/>
              <w:szCs w:val="20"/>
            </w:rPr>
          </w:pPr>
          <w:r>
            <w:rPr>
              <w:sz w:val="20"/>
              <w:szCs w:val="20"/>
            </w:rPr>
            <w:t>MaiMultVerde</w:t>
          </w:r>
        </w:p>
      </w:tc>
      <w:tc>
        <w:tcPr>
          <w:tcW w:w="6378" w:type="dxa"/>
          <w:tcBorders>
            <w:bottom w:val="single" w:sz="12" w:space="0" w:color="EF7F31"/>
          </w:tcBorders>
        </w:tcPr>
        <w:p w:rsidR="00DB64CD" w:rsidRPr="008059AA" w:rsidRDefault="00DB64CD" w:rsidP="00814E18">
          <w:pPr>
            <w:spacing w:before="0" w:after="0" w:line="240" w:lineRule="auto"/>
            <w:jc w:val="right"/>
            <w:rPr>
              <w:rFonts w:cs="Arial"/>
              <w:sz w:val="20"/>
              <w:szCs w:val="20"/>
            </w:rPr>
          </w:pPr>
          <w:r w:rsidRPr="00F52992">
            <w:rPr>
              <w:rFonts w:cs="Arial"/>
              <w:sz w:val="20"/>
              <w:szCs w:val="20"/>
            </w:rPr>
            <w:t>România împotriva risipei de hrană</w:t>
          </w:r>
        </w:p>
      </w:tc>
      <w:tc>
        <w:tcPr>
          <w:tcW w:w="1526" w:type="dxa"/>
          <w:tcBorders>
            <w:bottom w:val="single" w:sz="12" w:space="0" w:color="EF7F31"/>
          </w:tcBorders>
        </w:tcPr>
        <w:p w:rsidR="00DB64CD" w:rsidRPr="00DC05C7" w:rsidRDefault="00DB64CD" w:rsidP="00814E18">
          <w:pPr>
            <w:pStyle w:val="Header"/>
            <w:spacing w:before="0"/>
            <w:jc w:val="right"/>
            <w:rPr>
              <w:sz w:val="20"/>
              <w:szCs w:val="20"/>
              <w:lang w:val="fr-FR"/>
            </w:rPr>
          </w:pPr>
        </w:p>
      </w:tc>
    </w:tr>
    <w:tr w:rsidR="00DB64CD" w:rsidTr="0081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single" w:sz="12" w:space="0" w:color="1F5E7D"/>
            <w:left w:val="nil"/>
            <w:bottom w:val="nil"/>
            <w:right w:val="nil"/>
          </w:tcBorders>
        </w:tcPr>
        <w:p w:rsidR="00DB64CD" w:rsidRPr="008059AA" w:rsidRDefault="00DB64CD" w:rsidP="00814E18">
          <w:pPr>
            <w:pStyle w:val="Header"/>
            <w:jc w:val="right"/>
            <w:rPr>
              <w:sz w:val="20"/>
              <w:szCs w:val="20"/>
            </w:rPr>
          </w:pPr>
        </w:p>
      </w:tc>
      <w:sdt>
        <w:sdtPr>
          <w:rPr>
            <w:sz w:val="20"/>
            <w:szCs w:val="20"/>
          </w:rPr>
          <w:alias w:val="Title"/>
          <w:tag w:val=""/>
          <w:id w:val="-924882185"/>
          <w:placeholder>
            <w:docPart w:val="13DB9A2B84FB4965A946F054C2CC9CD3"/>
          </w:placeholder>
          <w:dataBinding w:prefixMappings="xmlns:ns0='http://purl.org/dc/elements/1.1/' xmlns:ns1='http://schemas.openxmlformats.org/package/2006/metadata/core-properties' " w:xpath="/ns1:coreProperties[1]/ns0:title[1]" w:storeItemID="{6C3C8BC8-F283-45AE-878A-BAB7291924A1}"/>
          <w:text/>
        </w:sdtPr>
        <w:sdtEndPr/>
        <w:sdtContent>
          <w:tc>
            <w:tcPr>
              <w:tcW w:w="6378" w:type="dxa"/>
              <w:tcBorders>
                <w:top w:val="single" w:sz="12" w:space="0" w:color="EF7F31"/>
                <w:left w:val="nil"/>
                <w:bottom w:val="nil"/>
                <w:right w:val="nil"/>
              </w:tcBorders>
            </w:tcPr>
            <w:p w:rsidR="00DB64CD" w:rsidRPr="008059AA" w:rsidRDefault="00DB64CD" w:rsidP="00814E18">
              <w:pPr>
                <w:pStyle w:val="Header"/>
                <w:spacing w:before="0"/>
                <w:jc w:val="right"/>
                <w:rPr>
                  <w:sz w:val="20"/>
                  <w:szCs w:val="20"/>
                </w:rPr>
              </w:pPr>
              <w:r>
                <w:rPr>
                  <w:sz w:val="20"/>
                  <w:szCs w:val="20"/>
                </w:rPr>
                <w:t>Studiu privind risipa de hrană în România _MMV_sinteza</w:t>
              </w:r>
            </w:p>
          </w:tc>
        </w:sdtContent>
      </w:sdt>
      <w:tc>
        <w:tcPr>
          <w:tcW w:w="1526" w:type="dxa"/>
          <w:tcBorders>
            <w:top w:val="single" w:sz="12" w:space="0" w:color="EF7F31"/>
            <w:left w:val="nil"/>
            <w:bottom w:val="nil"/>
            <w:right w:val="nil"/>
          </w:tcBorders>
        </w:tcPr>
        <w:p w:rsidR="00DB64CD" w:rsidRDefault="00DB64CD" w:rsidP="00814E18">
          <w:pPr>
            <w:pStyle w:val="Header"/>
            <w:spacing w:before="0"/>
            <w:jc w:val="right"/>
            <w:rPr>
              <w:sz w:val="20"/>
              <w:szCs w:val="20"/>
              <w:lang w:val="en-US"/>
            </w:rPr>
          </w:pPr>
        </w:p>
      </w:tc>
    </w:tr>
  </w:tbl>
  <w:p w:rsidR="00DB64CD" w:rsidRPr="00A849A2" w:rsidRDefault="00DB64CD" w:rsidP="00A84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8pt;height:63.85pt" o:bullet="t">
        <v:imagedata r:id="rId1" o:title="rotita0"/>
      </v:shape>
    </w:pict>
  </w:numPicBullet>
  <w:abstractNum w:abstractNumId="0">
    <w:nsid w:val="078C232D"/>
    <w:multiLevelType w:val="hybridMultilevel"/>
    <w:tmpl w:val="69CE9B38"/>
    <w:lvl w:ilvl="0" w:tplc="50F2DA0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3B0E87"/>
    <w:multiLevelType w:val="hybridMultilevel"/>
    <w:tmpl w:val="F6C8F7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CD2E90"/>
    <w:multiLevelType w:val="hybridMultilevel"/>
    <w:tmpl w:val="F0940E80"/>
    <w:lvl w:ilvl="0" w:tplc="D35CEDE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C3271D3"/>
    <w:multiLevelType w:val="multilevel"/>
    <w:tmpl w:val="D35CEC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49D60A8"/>
    <w:multiLevelType w:val="hybridMultilevel"/>
    <w:tmpl w:val="B4B2AC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687A1C"/>
    <w:multiLevelType w:val="hybridMultilevel"/>
    <w:tmpl w:val="CCC6830C"/>
    <w:lvl w:ilvl="0" w:tplc="50F2DA0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06364BF"/>
    <w:multiLevelType w:val="hybridMultilevel"/>
    <w:tmpl w:val="47AAAC82"/>
    <w:lvl w:ilvl="0" w:tplc="ABE0383E">
      <w:start w:val="1"/>
      <w:numFmt w:val="bullet"/>
      <w:lvlText w:val="o"/>
      <w:lvlJc w:val="left"/>
      <w:pPr>
        <w:ind w:left="720" w:hanging="360"/>
      </w:pPr>
      <w:rPr>
        <w:rFonts w:ascii="Garamond" w:hAnsi="Garamond" w:cs="Courier New"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21D13AF"/>
    <w:multiLevelType w:val="hybridMultilevel"/>
    <w:tmpl w:val="8D600A3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9BB5AF0"/>
    <w:multiLevelType w:val="hybridMultilevel"/>
    <w:tmpl w:val="C75A78F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7A51C50"/>
    <w:multiLevelType w:val="hybridMultilevel"/>
    <w:tmpl w:val="AEF0AE04"/>
    <w:lvl w:ilvl="0" w:tplc="D35CEDE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81205DC"/>
    <w:multiLevelType w:val="hybridMultilevel"/>
    <w:tmpl w:val="D8E459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A5960FD"/>
    <w:multiLevelType w:val="hybridMultilevel"/>
    <w:tmpl w:val="49F4A6B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BE823F8"/>
    <w:multiLevelType w:val="hybridMultilevel"/>
    <w:tmpl w:val="3D02E9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02F34CC"/>
    <w:multiLevelType w:val="hybridMultilevel"/>
    <w:tmpl w:val="792040F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5623CD4"/>
    <w:multiLevelType w:val="hybridMultilevel"/>
    <w:tmpl w:val="8E7EF0D8"/>
    <w:lvl w:ilvl="0" w:tplc="D35CEDE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226D41"/>
    <w:multiLevelType w:val="hybridMultilevel"/>
    <w:tmpl w:val="76588F9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6C4D16DA"/>
    <w:multiLevelType w:val="hybridMultilevel"/>
    <w:tmpl w:val="DF405274"/>
    <w:lvl w:ilvl="0" w:tplc="D35CEDE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B705933"/>
    <w:multiLevelType w:val="hybridMultilevel"/>
    <w:tmpl w:val="662E61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1"/>
  </w:num>
  <w:num w:numId="5">
    <w:abstractNumId w:val="13"/>
  </w:num>
  <w:num w:numId="6">
    <w:abstractNumId w:val="9"/>
  </w:num>
  <w:num w:numId="7">
    <w:abstractNumId w:val="0"/>
  </w:num>
  <w:num w:numId="8">
    <w:abstractNumId w:val="2"/>
  </w:num>
  <w:num w:numId="9">
    <w:abstractNumId w:val="14"/>
  </w:num>
  <w:num w:numId="10">
    <w:abstractNumId w:val="5"/>
  </w:num>
  <w:num w:numId="11">
    <w:abstractNumId w:val="7"/>
  </w:num>
  <w:num w:numId="12">
    <w:abstractNumId w:val="3"/>
  </w:num>
  <w:num w:numId="13">
    <w:abstractNumId w:val="3"/>
  </w:num>
  <w:num w:numId="14">
    <w:abstractNumId w:val="3"/>
  </w:num>
  <w:num w:numId="15">
    <w:abstractNumId w:val="16"/>
  </w:num>
  <w:num w:numId="16">
    <w:abstractNumId w:val="17"/>
  </w:num>
  <w:num w:numId="17">
    <w:abstractNumId w:val="4"/>
  </w:num>
  <w:num w:numId="18">
    <w:abstractNumId w:val="6"/>
  </w:num>
  <w:num w:numId="19">
    <w:abstractNumId w:val="15"/>
  </w:num>
  <w:num w:numId="20">
    <w:abstractNumId w:val="11"/>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46"/>
    <w:rsid w:val="000032FE"/>
    <w:rsid w:val="0000334E"/>
    <w:rsid w:val="00003CE3"/>
    <w:rsid w:val="00004392"/>
    <w:rsid w:val="00004980"/>
    <w:rsid w:val="00004DB9"/>
    <w:rsid w:val="0000500E"/>
    <w:rsid w:val="000057A1"/>
    <w:rsid w:val="00006377"/>
    <w:rsid w:val="00007BDA"/>
    <w:rsid w:val="00007E8D"/>
    <w:rsid w:val="0001005A"/>
    <w:rsid w:val="00010309"/>
    <w:rsid w:val="00011386"/>
    <w:rsid w:val="00011DF1"/>
    <w:rsid w:val="00013337"/>
    <w:rsid w:val="00014833"/>
    <w:rsid w:val="0001570F"/>
    <w:rsid w:val="0001599A"/>
    <w:rsid w:val="000164CE"/>
    <w:rsid w:val="000227E2"/>
    <w:rsid w:val="000238F6"/>
    <w:rsid w:val="00026321"/>
    <w:rsid w:val="00026CF8"/>
    <w:rsid w:val="00026E0D"/>
    <w:rsid w:val="0003051D"/>
    <w:rsid w:val="000319B0"/>
    <w:rsid w:val="000334BD"/>
    <w:rsid w:val="000348CE"/>
    <w:rsid w:val="00037056"/>
    <w:rsid w:val="000402BE"/>
    <w:rsid w:val="00040A85"/>
    <w:rsid w:val="00040EBC"/>
    <w:rsid w:val="00042ED9"/>
    <w:rsid w:val="00046981"/>
    <w:rsid w:val="00047005"/>
    <w:rsid w:val="0005016E"/>
    <w:rsid w:val="00051661"/>
    <w:rsid w:val="00051B92"/>
    <w:rsid w:val="00053E0A"/>
    <w:rsid w:val="00054064"/>
    <w:rsid w:val="000558CF"/>
    <w:rsid w:val="00055F2F"/>
    <w:rsid w:val="000569E5"/>
    <w:rsid w:val="000608B4"/>
    <w:rsid w:val="000618AA"/>
    <w:rsid w:val="000624F0"/>
    <w:rsid w:val="00063180"/>
    <w:rsid w:val="000635F2"/>
    <w:rsid w:val="0006562D"/>
    <w:rsid w:val="00067027"/>
    <w:rsid w:val="0006702F"/>
    <w:rsid w:val="0007130D"/>
    <w:rsid w:val="00072996"/>
    <w:rsid w:val="00072C69"/>
    <w:rsid w:val="0007429E"/>
    <w:rsid w:val="00074D5F"/>
    <w:rsid w:val="00075DBD"/>
    <w:rsid w:val="00076669"/>
    <w:rsid w:val="00076ADB"/>
    <w:rsid w:val="00076EB0"/>
    <w:rsid w:val="00081DFF"/>
    <w:rsid w:val="00083529"/>
    <w:rsid w:val="00084F80"/>
    <w:rsid w:val="00085075"/>
    <w:rsid w:val="00086ADC"/>
    <w:rsid w:val="000874F0"/>
    <w:rsid w:val="0008755B"/>
    <w:rsid w:val="000914AD"/>
    <w:rsid w:val="00093D5F"/>
    <w:rsid w:val="000942D4"/>
    <w:rsid w:val="00094E4C"/>
    <w:rsid w:val="000953CA"/>
    <w:rsid w:val="0009577A"/>
    <w:rsid w:val="000964B2"/>
    <w:rsid w:val="000971EF"/>
    <w:rsid w:val="000977E1"/>
    <w:rsid w:val="000A0476"/>
    <w:rsid w:val="000A1AC2"/>
    <w:rsid w:val="000A24A4"/>
    <w:rsid w:val="000A2676"/>
    <w:rsid w:val="000A3F0A"/>
    <w:rsid w:val="000A58E5"/>
    <w:rsid w:val="000A7FD9"/>
    <w:rsid w:val="000B0423"/>
    <w:rsid w:val="000B2397"/>
    <w:rsid w:val="000B25F5"/>
    <w:rsid w:val="000B2A45"/>
    <w:rsid w:val="000B2CA0"/>
    <w:rsid w:val="000B2F9A"/>
    <w:rsid w:val="000B3E5C"/>
    <w:rsid w:val="000B4FBE"/>
    <w:rsid w:val="000B5094"/>
    <w:rsid w:val="000B51B7"/>
    <w:rsid w:val="000B6B46"/>
    <w:rsid w:val="000B6BB3"/>
    <w:rsid w:val="000B7D30"/>
    <w:rsid w:val="000B7EBC"/>
    <w:rsid w:val="000C07E3"/>
    <w:rsid w:val="000C16CD"/>
    <w:rsid w:val="000C1991"/>
    <w:rsid w:val="000C1DBE"/>
    <w:rsid w:val="000C23E4"/>
    <w:rsid w:val="000C526D"/>
    <w:rsid w:val="000C5FFC"/>
    <w:rsid w:val="000C6E45"/>
    <w:rsid w:val="000C77F4"/>
    <w:rsid w:val="000C7DB2"/>
    <w:rsid w:val="000D004D"/>
    <w:rsid w:val="000D0F9B"/>
    <w:rsid w:val="000D2878"/>
    <w:rsid w:val="000D28A5"/>
    <w:rsid w:val="000D31BD"/>
    <w:rsid w:val="000D43DF"/>
    <w:rsid w:val="000D46F3"/>
    <w:rsid w:val="000D4F3B"/>
    <w:rsid w:val="000D511B"/>
    <w:rsid w:val="000D5334"/>
    <w:rsid w:val="000D5BA8"/>
    <w:rsid w:val="000D6F27"/>
    <w:rsid w:val="000D74B5"/>
    <w:rsid w:val="000D7A60"/>
    <w:rsid w:val="000D7C42"/>
    <w:rsid w:val="000E1361"/>
    <w:rsid w:val="000E1ECB"/>
    <w:rsid w:val="000E2F9B"/>
    <w:rsid w:val="000E2FAE"/>
    <w:rsid w:val="000E39E9"/>
    <w:rsid w:val="000E473F"/>
    <w:rsid w:val="000E58F3"/>
    <w:rsid w:val="000E5CD6"/>
    <w:rsid w:val="000E5F59"/>
    <w:rsid w:val="000F1DF3"/>
    <w:rsid w:val="000F4012"/>
    <w:rsid w:val="000F41BA"/>
    <w:rsid w:val="000F5E97"/>
    <w:rsid w:val="000F6637"/>
    <w:rsid w:val="000F670F"/>
    <w:rsid w:val="000F79D8"/>
    <w:rsid w:val="001013AD"/>
    <w:rsid w:val="00101B95"/>
    <w:rsid w:val="00102001"/>
    <w:rsid w:val="00102BD6"/>
    <w:rsid w:val="001040E1"/>
    <w:rsid w:val="00104527"/>
    <w:rsid w:val="0010556D"/>
    <w:rsid w:val="0010597C"/>
    <w:rsid w:val="00105F71"/>
    <w:rsid w:val="0010679F"/>
    <w:rsid w:val="00110E24"/>
    <w:rsid w:val="00111515"/>
    <w:rsid w:val="00115C0C"/>
    <w:rsid w:val="00116230"/>
    <w:rsid w:val="00117B0A"/>
    <w:rsid w:val="00120A38"/>
    <w:rsid w:val="00121642"/>
    <w:rsid w:val="00121998"/>
    <w:rsid w:val="001227EA"/>
    <w:rsid w:val="00123CCC"/>
    <w:rsid w:val="001250F7"/>
    <w:rsid w:val="00125742"/>
    <w:rsid w:val="00126CA4"/>
    <w:rsid w:val="001272B3"/>
    <w:rsid w:val="00127312"/>
    <w:rsid w:val="001279CB"/>
    <w:rsid w:val="00127B05"/>
    <w:rsid w:val="0013011C"/>
    <w:rsid w:val="00131263"/>
    <w:rsid w:val="0013133D"/>
    <w:rsid w:val="00131959"/>
    <w:rsid w:val="0013383A"/>
    <w:rsid w:val="001341AC"/>
    <w:rsid w:val="0013447D"/>
    <w:rsid w:val="00135850"/>
    <w:rsid w:val="001401A5"/>
    <w:rsid w:val="00141EE7"/>
    <w:rsid w:val="00142AA7"/>
    <w:rsid w:val="00142FC5"/>
    <w:rsid w:val="00144233"/>
    <w:rsid w:val="00144414"/>
    <w:rsid w:val="001456FF"/>
    <w:rsid w:val="0014574A"/>
    <w:rsid w:val="001466EC"/>
    <w:rsid w:val="00146723"/>
    <w:rsid w:val="00146828"/>
    <w:rsid w:val="00146F7D"/>
    <w:rsid w:val="00150A0F"/>
    <w:rsid w:val="00151906"/>
    <w:rsid w:val="001521B9"/>
    <w:rsid w:val="00152A11"/>
    <w:rsid w:val="00153E8C"/>
    <w:rsid w:val="00153EEA"/>
    <w:rsid w:val="00156967"/>
    <w:rsid w:val="00156987"/>
    <w:rsid w:val="00156AAD"/>
    <w:rsid w:val="00156D49"/>
    <w:rsid w:val="00157627"/>
    <w:rsid w:val="00160517"/>
    <w:rsid w:val="0016286E"/>
    <w:rsid w:val="00162E95"/>
    <w:rsid w:val="00162F66"/>
    <w:rsid w:val="00163231"/>
    <w:rsid w:val="0016404E"/>
    <w:rsid w:val="001642B4"/>
    <w:rsid w:val="0016473D"/>
    <w:rsid w:val="001657C1"/>
    <w:rsid w:val="001659C6"/>
    <w:rsid w:val="00166374"/>
    <w:rsid w:val="00166B54"/>
    <w:rsid w:val="00167C6B"/>
    <w:rsid w:val="00170482"/>
    <w:rsid w:val="00170F33"/>
    <w:rsid w:val="001729AB"/>
    <w:rsid w:val="00173BCD"/>
    <w:rsid w:val="001743B2"/>
    <w:rsid w:val="00174DA9"/>
    <w:rsid w:val="00180BDB"/>
    <w:rsid w:val="00182D1C"/>
    <w:rsid w:val="0018333A"/>
    <w:rsid w:val="00184762"/>
    <w:rsid w:val="00184E3E"/>
    <w:rsid w:val="00185936"/>
    <w:rsid w:val="00185B8C"/>
    <w:rsid w:val="001908D1"/>
    <w:rsid w:val="00191616"/>
    <w:rsid w:val="001919B5"/>
    <w:rsid w:val="001957AB"/>
    <w:rsid w:val="0019592F"/>
    <w:rsid w:val="00195ACA"/>
    <w:rsid w:val="001A03FA"/>
    <w:rsid w:val="001A1B2C"/>
    <w:rsid w:val="001A3C58"/>
    <w:rsid w:val="001A493B"/>
    <w:rsid w:val="001A540D"/>
    <w:rsid w:val="001A558A"/>
    <w:rsid w:val="001A590E"/>
    <w:rsid w:val="001A5980"/>
    <w:rsid w:val="001B140E"/>
    <w:rsid w:val="001B195B"/>
    <w:rsid w:val="001B1F56"/>
    <w:rsid w:val="001B238F"/>
    <w:rsid w:val="001B3294"/>
    <w:rsid w:val="001B67B7"/>
    <w:rsid w:val="001B6C44"/>
    <w:rsid w:val="001B6F23"/>
    <w:rsid w:val="001B7FA5"/>
    <w:rsid w:val="001C1615"/>
    <w:rsid w:val="001C2487"/>
    <w:rsid w:val="001C26A5"/>
    <w:rsid w:val="001C2F9E"/>
    <w:rsid w:val="001C3913"/>
    <w:rsid w:val="001C48B1"/>
    <w:rsid w:val="001C5061"/>
    <w:rsid w:val="001C598C"/>
    <w:rsid w:val="001C66F7"/>
    <w:rsid w:val="001C7030"/>
    <w:rsid w:val="001C751C"/>
    <w:rsid w:val="001C7655"/>
    <w:rsid w:val="001C78B8"/>
    <w:rsid w:val="001D11C2"/>
    <w:rsid w:val="001D12F0"/>
    <w:rsid w:val="001D1B7A"/>
    <w:rsid w:val="001D2DF2"/>
    <w:rsid w:val="001D3236"/>
    <w:rsid w:val="001D4045"/>
    <w:rsid w:val="001D4314"/>
    <w:rsid w:val="001D5D02"/>
    <w:rsid w:val="001D7826"/>
    <w:rsid w:val="001E2BD7"/>
    <w:rsid w:val="001E3AB7"/>
    <w:rsid w:val="001E4239"/>
    <w:rsid w:val="001E4A40"/>
    <w:rsid w:val="001E78D2"/>
    <w:rsid w:val="001F04C3"/>
    <w:rsid w:val="001F1E84"/>
    <w:rsid w:val="001F411A"/>
    <w:rsid w:val="001F46F4"/>
    <w:rsid w:val="001F471E"/>
    <w:rsid w:val="001F515C"/>
    <w:rsid w:val="001F519D"/>
    <w:rsid w:val="001F548D"/>
    <w:rsid w:val="001F654D"/>
    <w:rsid w:val="001F7360"/>
    <w:rsid w:val="001F7534"/>
    <w:rsid w:val="00201102"/>
    <w:rsid w:val="002012AA"/>
    <w:rsid w:val="00201876"/>
    <w:rsid w:val="00202292"/>
    <w:rsid w:val="00204672"/>
    <w:rsid w:val="00204F33"/>
    <w:rsid w:val="0020514A"/>
    <w:rsid w:val="0020518A"/>
    <w:rsid w:val="002061CE"/>
    <w:rsid w:val="00207937"/>
    <w:rsid w:val="0021059F"/>
    <w:rsid w:val="0021065A"/>
    <w:rsid w:val="002115D8"/>
    <w:rsid w:val="00211BAB"/>
    <w:rsid w:val="00212E8B"/>
    <w:rsid w:val="00213598"/>
    <w:rsid w:val="00213F05"/>
    <w:rsid w:val="00215386"/>
    <w:rsid w:val="002158D7"/>
    <w:rsid w:val="002166F7"/>
    <w:rsid w:val="002174B1"/>
    <w:rsid w:val="00217551"/>
    <w:rsid w:val="00220D22"/>
    <w:rsid w:val="00221DF6"/>
    <w:rsid w:val="0022347A"/>
    <w:rsid w:val="00223BB3"/>
    <w:rsid w:val="00226DDE"/>
    <w:rsid w:val="00233B8C"/>
    <w:rsid w:val="002350A3"/>
    <w:rsid w:val="00236B58"/>
    <w:rsid w:val="002375CC"/>
    <w:rsid w:val="0024036D"/>
    <w:rsid w:val="0024129A"/>
    <w:rsid w:val="00241306"/>
    <w:rsid w:val="00241FF8"/>
    <w:rsid w:val="002423C0"/>
    <w:rsid w:val="00242602"/>
    <w:rsid w:val="00243B3D"/>
    <w:rsid w:val="00244DB3"/>
    <w:rsid w:val="00245308"/>
    <w:rsid w:val="002454CE"/>
    <w:rsid w:val="00245647"/>
    <w:rsid w:val="00245782"/>
    <w:rsid w:val="00250D10"/>
    <w:rsid w:val="00250F1E"/>
    <w:rsid w:val="00251B84"/>
    <w:rsid w:val="002539D1"/>
    <w:rsid w:val="00254E7B"/>
    <w:rsid w:val="002550C6"/>
    <w:rsid w:val="0025522B"/>
    <w:rsid w:val="0025582A"/>
    <w:rsid w:val="00257E5D"/>
    <w:rsid w:val="00261B31"/>
    <w:rsid w:val="00262515"/>
    <w:rsid w:val="002625AF"/>
    <w:rsid w:val="002658D6"/>
    <w:rsid w:val="00266F51"/>
    <w:rsid w:val="0026766E"/>
    <w:rsid w:val="0027005F"/>
    <w:rsid w:val="00270761"/>
    <w:rsid w:val="00271D2F"/>
    <w:rsid w:val="00272817"/>
    <w:rsid w:val="00275297"/>
    <w:rsid w:val="002755B4"/>
    <w:rsid w:val="002755E8"/>
    <w:rsid w:val="002756D1"/>
    <w:rsid w:val="00276D0B"/>
    <w:rsid w:val="00277522"/>
    <w:rsid w:val="00283DE3"/>
    <w:rsid w:val="002841E2"/>
    <w:rsid w:val="002844E4"/>
    <w:rsid w:val="00285EEC"/>
    <w:rsid w:val="00292C9C"/>
    <w:rsid w:val="00293651"/>
    <w:rsid w:val="00293A70"/>
    <w:rsid w:val="00293C9E"/>
    <w:rsid w:val="00294D95"/>
    <w:rsid w:val="00295110"/>
    <w:rsid w:val="00295364"/>
    <w:rsid w:val="00295A52"/>
    <w:rsid w:val="00296051"/>
    <w:rsid w:val="00296EFC"/>
    <w:rsid w:val="00297D72"/>
    <w:rsid w:val="00297F06"/>
    <w:rsid w:val="002A1394"/>
    <w:rsid w:val="002A369A"/>
    <w:rsid w:val="002A3797"/>
    <w:rsid w:val="002A3799"/>
    <w:rsid w:val="002A3CAE"/>
    <w:rsid w:val="002A3CEB"/>
    <w:rsid w:val="002A6B27"/>
    <w:rsid w:val="002A7503"/>
    <w:rsid w:val="002A7604"/>
    <w:rsid w:val="002B0611"/>
    <w:rsid w:val="002B1549"/>
    <w:rsid w:val="002B4F65"/>
    <w:rsid w:val="002B5C69"/>
    <w:rsid w:val="002B6174"/>
    <w:rsid w:val="002B67AF"/>
    <w:rsid w:val="002B6E46"/>
    <w:rsid w:val="002B7614"/>
    <w:rsid w:val="002B7ACC"/>
    <w:rsid w:val="002C0D36"/>
    <w:rsid w:val="002C33D3"/>
    <w:rsid w:val="002C4AA3"/>
    <w:rsid w:val="002C4D43"/>
    <w:rsid w:val="002C61C5"/>
    <w:rsid w:val="002D0274"/>
    <w:rsid w:val="002D0481"/>
    <w:rsid w:val="002D04D5"/>
    <w:rsid w:val="002D09B2"/>
    <w:rsid w:val="002D0E11"/>
    <w:rsid w:val="002D1562"/>
    <w:rsid w:val="002D1C33"/>
    <w:rsid w:val="002D244F"/>
    <w:rsid w:val="002D2C21"/>
    <w:rsid w:val="002D61D0"/>
    <w:rsid w:val="002E0181"/>
    <w:rsid w:val="002E049B"/>
    <w:rsid w:val="002E050E"/>
    <w:rsid w:val="002E0DF7"/>
    <w:rsid w:val="002E1E8C"/>
    <w:rsid w:val="002E4073"/>
    <w:rsid w:val="002E4FB6"/>
    <w:rsid w:val="002E52B4"/>
    <w:rsid w:val="002E6051"/>
    <w:rsid w:val="002E677E"/>
    <w:rsid w:val="002F0F6D"/>
    <w:rsid w:val="002F40D2"/>
    <w:rsid w:val="002F6EAA"/>
    <w:rsid w:val="003004DB"/>
    <w:rsid w:val="00301D70"/>
    <w:rsid w:val="00303C77"/>
    <w:rsid w:val="00304F23"/>
    <w:rsid w:val="00305936"/>
    <w:rsid w:val="00305B5D"/>
    <w:rsid w:val="00305DE4"/>
    <w:rsid w:val="00310AE2"/>
    <w:rsid w:val="003125BF"/>
    <w:rsid w:val="00314C3E"/>
    <w:rsid w:val="00315078"/>
    <w:rsid w:val="003150B2"/>
    <w:rsid w:val="00315554"/>
    <w:rsid w:val="003160B4"/>
    <w:rsid w:val="00317E2F"/>
    <w:rsid w:val="00320299"/>
    <w:rsid w:val="00320E91"/>
    <w:rsid w:val="00322101"/>
    <w:rsid w:val="00323778"/>
    <w:rsid w:val="00324926"/>
    <w:rsid w:val="0032586C"/>
    <w:rsid w:val="00325FA3"/>
    <w:rsid w:val="0032680E"/>
    <w:rsid w:val="00330B33"/>
    <w:rsid w:val="00331240"/>
    <w:rsid w:val="00331ED8"/>
    <w:rsid w:val="0033417C"/>
    <w:rsid w:val="003341D1"/>
    <w:rsid w:val="003352E9"/>
    <w:rsid w:val="00336102"/>
    <w:rsid w:val="00336114"/>
    <w:rsid w:val="0034046E"/>
    <w:rsid w:val="00340B89"/>
    <w:rsid w:val="003435E8"/>
    <w:rsid w:val="0034408E"/>
    <w:rsid w:val="0034427F"/>
    <w:rsid w:val="0034487C"/>
    <w:rsid w:val="0034573E"/>
    <w:rsid w:val="00347E83"/>
    <w:rsid w:val="0035130A"/>
    <w:rsid w:val="00351357"/>
    <w:rsid w:val="00351C5B"/>
    <w:rsid w:val="003526EA"/>
    <w:rsid w:val="00352C2E"/>
    <w:rsid w:val="00352E49"/>
    <w:rsid w:val="00353068"/>
    <w:rsid w:val="00353175"/>
    <w:rsid w:val="003545B2"/>
    <w:rsid w:val="00355379"/>
    <w:rsid w:val="0035774D"/>
    <w:rsid w:val="0035797C"/>
    <w:rsid w:val="00357AE5"/>
    <w:rsid w:val="003602BE"/>
    <w:rsid w:val="00363217"/>
    <w:rsid w:val="00363304"/>
    <w:rsid w:val="003644B0"/>
    <w:rsid w:val="003656F6"/>
    <w:rsid w:val="00365A2C"/>
    <w:rsid w:val="003669B2"/>
    <w:rsid w:val="00367767"/>
    <w:rsid w:val="00367E87"/>
    <w:rsid w:val="003708B7"/>
    <w:rsid w:val="00372522"/>
    <w:rsid w:val="00372689"/>
    <w:rsid w:val="00374C40"/>
    <w:rsid w:val="0037524E"/>
    <w:rsid w:val="00375797"/>
    <w:rsid w:val="0037640D"/>
    <w:rsid w:val="00380098"/>
    <w:rsid w:val="0038064D"/>
    <w:rsid w:val="003808CC"/>
    <w:rsid w:val="0038151A"/>
    <w:rsid w:val="0038156A"/>
    <w:rsid w:val="0038494F"/>
    <w:rsid w:val="00384968"/>
    <w:rsid w:val="00385D3C"/>
    <w:rsid w:val="0038694A"/>
    <w:rsid w:val="00386C6C"/>
    <w:rsid w:val="00386DDB"/>
    <w:rsid w:val="00386FF5"/>
    <w:rsid w:val="003874C9"/>
    <w:rsid w:val="003915AE"/>
    <w:rsid w:val="00392286"/>
    <w:rsid w:val="00392342"/>
    <w:rsid w:val="00392879"/>
    <w:rsid w:val="003928AF"/>
    <w:rsid w:val="003932EA"/>
    <w:rsid w:val="00393AE1"/>
    <w:rsid w:val="0039464F"/>
    <w:rsid w:val="003952D3"/>
    <w:rsid w:val="00395CD3"/>
    <w:rsid w:val="003965A6"/>
    <w:rsid w:val="003965C7"/>
    <w:rsid w:val="0039763B"/>
    <w:rsid w:val="00397E99"/>
    <w:rsid w:val="003A0A27"/>
    <w:rsid w:val="003A198D"/>
    <w:rsid w:val="003A1A78"/>
    <w:rsid w:val="003A1D5D"/>
    <w:rsid w:val="003A2830"/>
    <w:rsid w:val="003A2AFF"/>
    <w:rsid w:val="003A315E"/>
    <w:rsid w:val="003A3586"/>
    <w:rsid w:val="003A4CA3"/>
    <w:rsid w:val="003A7289"/>
    <w:rsid w:val="003A758E"/>
    <w:rsid w:val="003B1464"/>
    <w:rsid w:val="003B1541"/>
    <w:rsid w:val="003B20BD"/>
    <w:rsid w:val="003B3628"/>
    <w:rsid w:val="003B4146"/>
    <w:rsid w:val="003B6E95"/>
    <w:rsid w:val="003B732E"/>
    <w:rsid w:val="003C09FD"/>
    <w:rsid w:val="003C1D40"/>
    <w:rsid w:val="003C28AC"/>
    <w:rsid w:val="003C6E02"/>
    <w:rsid w:val="003C6E7F"/>
    <w:rsid w:val="003D0DDA"/>
    <w:rsid w:val="003D1BE0"/>
    <w:rsid w:val="003D29EC"/>
    <w:rsid w:val="003D300B"/>
    <w:rsid w:val="003D326C"/>
    <w:rsid w:val="003D3C37"/>
    <w:rsid w:val="003D4764"/>
    <w:rsid w:val="003D59DE"/>
    <w:rsid w:val="003D5F03"/>
    <w:rsid w:val="003E05F2"/>
    <w:rsid w:val="003E084D"/>
    <w:rsid w:val="003E140A"/>
    <w:rsid w:val="003E2422"/>
    <w:rsid w:val="003E4708"/>
    <w:rsid w:val="003F060E"/>
    <w:rsid w:val="003F2CA0"/>
    <w:rsid w:val="003F364A"/>
    <w:rsid w:val="003F3907"/>
    <w:rsid w:val="003F3E30"/>
    <w:rsid w:val="003F4649"/>
    <w:rsid w:val="003F4E19"/>
    <w:rsid w:val="003F60B9"/>
    <w:rsid w:val="003F636A"/>
    <w:rsid w:val="003F6573"/>
    <w:rsid w:val="0040086D"/>
    <w:rsid w:val="00400945"/>
    <w:rsid w:val="00402BBA"/>
    <w:rsid w:val="00404277"/>
    <w:rsid w:val="00404E06"/>
    <w:rsid w:val="00406671"/>
    <w:rsid w:val="00410BF6"/>
    <w:rsid w:val="00410ED7"/>
    <w:rsid w:val="0041268D"/>
    <w:rsid w:val="00412A32"/>
    <w:rsid w:val="00413037"/>
    <w:rsid w:val="0041391C"/>
    <w:rsid w:val="00414504"/>
    <w:rsid w:val="00414A1B"/>
    <w:rsid w:val="00415FF7"/>
    <w:rsid w:val="00417704"/>
    <w:rsid w:val="00417AD2"/>
    <w:rsid w:val="0042105E"/>
    <w:rsid w:val="004217E0"/>
    <w:rsid w:val="00422C93"/>
    <w:rsid w:val="00423016"/>
    <w:rsid w:val="004239DE"/>
    <w:rsid w:val="00423B40"/>
    <w:rsid w:val="00423CE2"/>
    <w:rsid w:val="00423D43"/>
    <w:rsid w:val="0042411D"/>
    <w:rsid w:val="0042669F"/>
    <w:rsid w:val="0042682B"/>
    <w:rsid w:val="00426D08"/>
    <w:rsid w:val="004302F1"/>
    <w:rsid w:val="004306B3"/>
    <w:rsid w:val="004308ED"/>
    <w:rsid w:val="00430AB6"/>
    <w:rsid w:val="00431A24"/>
    <w:rsid w:val="00432AAE"/>
    <w:rsid w:val="00433120"/>
    <w:rsid w:val="00433481"/>
    <w:rsid w:val="00433A46"/>
    <w:rsid w:val="00435F6F"/>
    <w:rsid w:val="00436329"/>
    <w:rsid w:val="00437061"/>
    <w:rsid w:val="004371CB"/>
    <w:rsid w:val="004375F5"/>
    <w:rsid w:val="00437FAA"/>
    <w:rsid w:val="00440D5C"/>
    <w:rsid w:val="004410C7"/>
    <w:rsid w:val="00443BF2"/>
    <w:rsid w:val="00444756"/>
    <w:rsid w:val="0044484C"/>
    <w:rsid w:val="00450536"/>
    <w:rsid w:val="00450D08"/>
    <w:rsid w:val="00452A1D"/>
    <w:rsid w:val="00454230"/>
    <w:rsid w:val="0045438E"/>
    <w:rsid w:val="00454BEA"/>
    <w:rsid w:val="00455C67"/>
    <w:rsid w:val="00455DCD"/>
    <w:rsid w:val="004560DA"/>
    <w:rsid w:val="0045692A"/>
    <w:rsid w:val="0046132E"/>
    <w:rsid w:val="00461483"/>
    <w:rsid w:val="00461924"/>
    <w:rsid w:val="00461A4E"/>
    <w:rsid w:val="00462785"/>
    <w:rsid w:val="004636CF"/>
    <w:rsid w:val="00463D3A"/>
    <w:rsid w:val="00464A98"/>
    <w:rsid w:val="00464F0E"/>
    <w:rsid w:val="00465C42"/>
    <w:rsid w:val="00467155"/>
    <w:rsid w:val="004676B6"/>
    <w:rsid w:val="00467926"/>
    <w:rsid w:val="00470A93"/>
    <w:rsid w:val="00470D98"/>
    <w:rsid w:val="00471539"/>
    <w:rsid w:val="00471B7F"/>
    <w:rsid w:val="004744F8"/>
    <w:rsid w:val="0047483A"/>
    <w:rsid w:val="00476699"/>
    <w:rsid w:val="00476E48"/>
    <w:rsid w:val="00477AE4"/>
    <w:rsid w:val="00477BB0"/>
    <w:rsid w:val="004808DE"/>
    <w:rsid w:val="004812AD"/>
    <w:rsid w:val="00481335"/>
    <w:rsid w:val="00481762"/>
    <w:rsid w:val="00482298"/>
    <w:rsid w:val="004823C9"/>
    <w:rsid w:val="00482C05"/>
    <w:rsid w:val="0048393F"/>
    <w:rsid w:val="00484FA6"/>
    <w:rsid w:val="004855ED"/>
    <w:rsid w:val="00486C7B"/>
    <w:rsid w:val="00491498"/>
    <w:rsid w:val="00491908"/>
    <w:rsid w:val="004921DD"/>
    <w:rsid w:val="00496786"/>
    <w:rsid w:val="00496819"/>
    <w:rsid w:val="00497598"/>
    <w:rsid w:val="004A44B9"/>
    <w:rsid w:val="004A5F94"/>
    <w:rsid w:val="004A60B8"/>
    <w:rsid w:val="004A64B5"/>
    <w:rsid w:val="004A778B"/>
    <w:rsid w:val="004B01B9"/>
    <w:rsid w:val="004B032E"/>
    <w:rsid w:val="004B2125"/>
    <w:rsid w:val="004B25DF"/>
    <w:rsid w:val="004B2A6C"/>
    <w:rsid w:val="004B3ABC"/>
    <w:rsid w:val="004B4F89"/>
    <w:rsid w:val="004B5C64"/>
    <w:rsid w:val="004B755D"/>
    <w:rsid w:val="004C0BFE"/>
    <w:rsid w:val="004C22BB"/>
    <w:rsid w:val="004C2D3A"/>
    <w:rsid w:val="004C3DF9"/>
    <w:rsid w:val="004C427C"/>
    <w:rsid w:val="004C7A1F"/>
    <w:rsid w:val="004D04E3"/>
    <w:rsid w:val="004D386E"/>
    <w:rsid w:val="004D4A06"/>
    <w:rsid w:val="004D633A"/>
    <w:rsid w:val="004E0286"/>
    <w:rsid w:val="004E0B1F"/>
    <w:rsid w:val="004E1F75"/>
    <w:rsid w:val="004E27B0"/>
    <w:rsid w:val="004E3084"/>
    <w:rsid w:val="004E586F"/>
    <w:rsid w:val="004E64B3"/>
    <w:rsid w:val="004F0309"/>
    <w:rsid w:val="004F06E8"/>
    <w:rsid w:val="004F156F"/>
    <w:rsid w:val="004F16F1"/>
    <w:rsid w:val="004F294B"/>
    <w:rsid w:val="004F4776"/>
    <w:rsid w:val="004F4C17"/>
    <w:rsid w:val="004F52A3"/>
    <w:rsid w:val="004F622D"/>
    <w:rsid w:val="0050010B"/>
    <w:rsid w:val="00500C66"/>
    <w:rsid w:val="0050116C"/>
    <w:rsid w:val="0050178D"/>
    <w:rsid w:val="005029ED"/>
    <w:rsid w:val="00503AA3"/>
    <w:rsid w:val="00504FCE"/>
    <w:rsid w:val="00506997"/>
    <w:rsid w:val="0050773E"/>
    <w:rsid w:val="00510D7A"/>
    <w:rsid w:val="0051132C"/>
    <w:rsid w:val="005125B8"/>
    <w:rsid w:val="005145B7"/>
    <w:rsid w:val="00514C33"/>
    <w:rsid w:val="005171D0"/>
    <w:rsid w:val="005174A3"/>
    <w:rsid w:val="005201D7"/>
    <w:rsid w:val="00520EF8"/>
    <w:rsid w:val="005210F0"/>
    <w:rsid w:val="0052122B"/>
    <w:rsid w:val="00522DC9"/>
    <w:rsid w:val="0052327E"/>
    <w:rsid w:val="00524B3F"/>
    <w:rsid w:val="00525A48"/>
    <w:rsid w:val="00527CD4"/>
    <w:rsid w:val="00530AF0"/>
    <w:rsid w:val="00530DC1"/>
    <w:rsid w:val="00531B4F"/>
    <w:rsid w:val="00532579"/>
    <w:rsid w:val="005335B6"/>
    <w:rsid w:val="00533E64"/>
    <w:rsid w:val="005342D5"/>
    <w:rsid w:val="00535216"/>
    <w:rsid w:val="005373B2"/>
    <w:rsid w:val="00540813"/>
    <w:rsid w:val="00541019"/>
    <w:rsid w:val="005417E4"/>
    <w:rsid w:val="00545A27"/>
    <w:rsid w:val="00546127"/>
    <w:rsid w:val="00546399"/>
    <w:rsid w:val="005472BD"/>
    <w:rsid w:val="00547A21"/>
    <w:rsid w:val="00550110"/>
    <w:rsid w:val="0055064A"/>
    <w:rsid w:val="00552A2C"/>
    <w:rsid w:val="00554719"/>
    <w:rsid w:val="005568A0"/>
    <w:rsid w:val="00556CDD"/>
    <w:rsid w:val="00557004"/>
    <w:rsid w:val="005604C5"/>
    <w:rsid w:val="00561A83"/>
    <w:rsid w:val="0056264C"/>
    <w:rsid w:val="00562CE4"/>
    <w:rsid w:val="00564D58"/>
    <w:rsid w:val="00565B3F"/>
    <w:rsid w:val="00566050"/>
    <w:rsid w:val="005664B6"/>
    <w:rsid w:val="005676C6"/>
    <w:rsid w:val="00570413"/>
    <w:rsid w:val="005705B4"/>
    <w:rsid w:val="0057266F"/>
    <w:rsid w:val="00573992"/>
    <w:rsid w:val="00573FAF"/>
    <w:rsid w:val="005753E9"/>
    <w:rsid w:val="00575683"/>
    <w:rsid w:val="00577EDE"/>
    <w:rsid w:val="00580DEF"/>
    <w:rsid w:val="0058259C"/>
    <w:rsid w:val="00583151"/>
    <w:rsid w:val="0058337D"/>
    <w:rsid w:val="005836B9"/>
    <w:rsid w:val="00583B57"/>
    <w:rsid w:val="00583C32"/>
    <w:rsid w:val="0058433B"/>
    <w:rsid w:val="0058772F"/>
    <w:rsid w:val="00590BF0"/>
    <w:rsid w:val="005923A5"/>
    <w:rsid w:val="00594023"/>
    <w:rsid w:val="00594865"/>
    <w:rsid w:val="00594E4C"/>
    <w:rsid w:val="005965DD"/>
    <w:rsid w:val="00596959"/>
    <w:rsid w:val="00596A02"/>
    <w:rsid w:val="00596DF7"/>
    <w:rsid w:val="005A12EE"/>
    <w:rsid w:val="005A22AA"/>
    <w:rsid w:val="005A28AE"/>
    <w:rsid w:val="005A434F"/>
    <w:rsid w:val="005A56D8"/>
    <w:rsid w:val="005A77C2"/>
    <w:rsid w:val="005A7C44"/>
    <w:rsid w:val="005B0AB2"/>
    <w:rsid w:val="005B0EC1"/>
    <w:rsid w:val="005B1AA2"/>
    <w:rsid w:val="005B1B1E"/>
    <w:rsid w:val="005B1BBC"/>
    <w:rsid w:val="005B2A57"/>
    <w:rsid w:val="005B2FFA"/>
    <w:rsid w:val="005B45AE"/>
    <w:rsid w:val="005B7A0A"/>
    <w:rsid w:val="005C0EA2"/>
    <w:rsid w:val="005C0EE1"/>
    <w:rsid w:val="005C24C3"/>
    <w:rsid w:val="005C2B62"/>
    <w:rsid w:val="005C2C48"/>
    <w:rsid w:val="005C33EC"/>
    <w:rsid w:val="005C4831"/>
    <w:rsid w:val="005C4B3E"/>
    <w:rsid w:val="005C504B"/>
    <w:rsid w:val="005C6232"/>
    <w:rsid w:val="005C71FF"/>
    <w:rsid w:val="005C7BB8"/>
    <w:rsid w:val="005C7FB3"/>
    <w:rsid w:val="005D1120"/>
    <w:rsid w:val="005D121C"/>
    <w:rsid w:val="005D2220"/>
    <w:rsid w:val="005D3251"/>
    <w:rsid w:val="005D5205"/>
    <w:rsid w:val="005D7F96"/>
    <w:rsid w:val="005E04AF"/>
    <w:rsid w:val="005E124D"/>
    <w:rsid w:val="005E25D8"/>
    <w:rsid w:val="005E3418"/>
    <w:rsid w:val="005E6D1E"/>
    <w:rsid w:val="005E7C39"/>
    <w:rsid w:val="005F1766"/>
    <w:rsid w:val="005F28BF"/>
    <w:rsid w:val="005F2A42"/>
    <w:rsid w:val="005F3222"/>
    <w:rsid w:val="005F372C"/>
    <w:rsid w:val="005F4911"/>
    <w:rsid w:val="005F49FD"/>
    <w:rsid w:val="005F4B71"/>
    <w:rsid w:val="005F5F03"/>
    <w:rsid w:val="005F6095"/>
    <w:rsid w:val="005F6899"/>
    <w:rsid w:val="006000F7"/>
    <w:rsid w:val="006011B4"/>
    <w:rsid w:val="006017A5"/>
    <w:rsid w:val="00601C52"/>
    <w:rsid w:val="00602D1B"/>
    <w:rsid w:val="00604576"/>
    <w:rsid w:val="006048DB"/>
    <w:rsid w:val="00604F97"/>
    <w:rsid w:val="0060565C"/>
    <w:rsid w:val="00607909"/>
    <w:rsid w:val="00607B62"/>
    <w:rsid w:val="00610B85"/>
    <w:rsid w:val="00611865"/>
    <w:rsid w:val="00612384"/>
    <w:rsid w:val="00616542"/>
    <w:rsid w:val="00616E84"/>
    <w:rsid w:val="00616F3E"/>
    <w:rsid w:val="00617638"/>
    <w:rsid w:val="006178B6"/>
    <w:rsid w:val="00617C71"/>
    <w:rsid w:val="00620C11"/>
    <w:rsid w:val="00622B3B"/>
    <w:rsid w:val="00622C66"/>
    <w:rsid w:val="006237D2"/>
    <w:rsid w:val="0062385B"/>
    <w:rsid w:val="00623862"/>
    <w:rsid w:val="00623AF3"/>
    <w:rsid w:val="00623E8A"/>
    <w:rsid w:val="00623FC7"/>
    <w:rsid w:val="006264C8"/>
    <w:rsid w:val="0062681D"/>
    <w:rsid w:val="00632B4F"/>
    <w:rsid w:val="006344F0"/>
    <w:rsid w:val="00634E96"/>
    <w:rsid w:val="00634FE4"/>
    <w:rsid w:val="006355C0"/>
    <w:rsid w:val="00636527"/>
    <w:rsid w:val="00637D7E"/>
    <w:rsid w:val="00640B8E"/>
    <w:rsid w:val="00641792"/>
    <w:rsid w:val="00641A85"/>
    <w:rsid w:val="00642348"/>
    <w:rsid w:val="006425F1"/>
    <w:rsid w:val="006437FA"/>
    <w:rsid w:val="00647D0E"/>
    <w:rsid w:val="0065155B"/>
    <w:rsid w:val="0065156A"/>
    <w:rsid w:val="0065175C"/>
    <w:rsid w:val="006539D2"/>
    <w:rsid w:val="00654A1F"/>
    <w:rsid w:val="00654A9B"/>
    <w:rsid w:val="00655F78"/>
    <w:rsid w:val="0065614F"/>
    <w:rsid w:val="00656712"/>
    <w:rsid w:val="00656EC2"/>
    <w:rsid w:val="00657817"/>
    <w:rsid w:val="006600CF"/>
    <w:rsid w:val="00660CD2"/>
    <w:rsid w:val="00662A8A"/>
    <w:rsid w:val="00664FDD"/>
    <w:rsid w:val="00667EDE"/>
    <w:rsid w:val="00670124"/>
    <w:rsid w:val="00672A32"/>
    <w:rsid w:val="0067304A"/>
    <w:rsid w:val="006740B1"/>
    <w:rsid w:val="006741F6"/>
    <w:rsid w:val="006773E3"/>
    <w:rsid w:val="006776B7"/>
    <w:rsid w:val="00680F7D"/>
    <w:rsid w:val="00681381"/>
    <w:rsid w:val="00681605"/>
    <w:rsid w:val="006817EE"/>
    <w:rsid w:val="00681FD5"/>
    <w:rsid w:val="006825AC"/>
    <w:rsid w:val="006826EB"/>
    <w:rsid w:val="00682BB7"/>
    <w:rsid w:val="00685FC9"/>
    <w:rsid w:val="00686D56"/>
    <w:rsid w:val="00686DB6"/>
    <w:rsid w:val="00686FAE"/>
    <w:rsid w:val="006908DA"/>
    <w:rsid w:val="00691FCC"/>
    <w:rsid w:val="006925E7"/>
    <w:rsid w:val="00692673"/>
    <w:rsid w:val="006932E8"/>
    <w:rsid w:val="00694246"/>
    <w:rsid w:val="00694B63"/>
    <w:rsid w:val="00694BF7"/>
    <w:rsid w:val="00695CCE"/>
    <w:rsid w:val="00696978"/>
    <w:rsid w:val="00696A28"/>
    <w:rsid w:val="00696AA7"/>
    <w:rsid w:val="00696EC2"/>
    <w:rsid w:val="006A0C7E"/>
    <w:rsid w:val="006A1432"/>
    <w:rsid w:val="006A1455"/>
    <w:rsid w:val="006A1BA3"/>
    <w:rsid w:val="006A2333"/>
    <w:rsid w:val="006A3B4D"/>
    <w:rsid w:val="006A3D40"/>
    <w:rsid w:val="006A6E32"/>
    <w:rsid w:val="006A7BC9"/>
    <w:rsid w:val="006A7D01"/>
    <w:rsid w:val="006B0435"/>
    <w:rsid w:val="006B1121"/>
    <w:rsid w:val="006B23A8"/>
    <w:rsid w:val="006B2921"/>
    <w:rsid w:val="006B41E7"/>
    <w:rsid w:val="006B4748"/>
    <w:rsid w:val="006B4755"/>
    <w:rsid w:val="006B5553"/>
    <w:rsid w:val="006B5936"/>
    <w:rsid w:val="006B679B"/>
    <w:rsid w:val="006B6A01"/>
    <w:rsid w:val="006B6DBD"/>
    <w:rsid w:val="006B70FE"/>
    <w:rsid w:val="006B7D78"/>
    <w:rsid w:val="006C04B0"/>
    <w:rsid w:val="006C1EFF"/>
    <w:rsid w:val="006C2A61"/>
    <w:rsid w:val="006C48F8"/>
    <w:rsid w:val="006C4C04"/>
    <w:rsid w:val="006C521A"/>
    <w:rsid w:val="006C57B1"/>
    <w:rsid w:val="006C6E80"/>
    <w:rsid w:val="006C7F52"/>
    <w:rsid w:val="006D22C2"/>
    <w:rsid w:val="006D2D0D"/>
    <w:rsid w:val="006D318F"/>
    <w:rsid w:val="006D3422"/>
    <w:rsid w:val="006D4329"/>
    <w:rsid w:val="006D55BA"/>
    <w:rsid w:val="006D5A99"/>
    <w:rsid w:val="006D5D19"/>
    <w:rsid w:val="006D6D96"/>
    <w:rsid w:val="006D6E35"/>
    <w:rsid w:val="006D7C4A"/>
    <w:rsid w:val="006D7CA0"/>
    <w:rsid w:val="006E0F28"/>
    <w:rsid w:val="006E16F5"/>
    <w:rsid w:val="006E2100"/>
    <w:rsid w:val="006E216E"/>
    <w:rsid w:val="006E24AE"/>
    <w:rsid w:val="006E2630"/>
    <w:rsid w:val="006E3ECB"/>
    <w:rsid w:val="006E5B0D"/>
    <w:rsid w:val="006E7B72"/>
    <w:rsid w:val="006E7C29"/>
    <w:rsid w:val="006F1B40"/>
    <w:rsid w:val="006F2F5C"/>
    <w:rsid w:val="006F3495"/>
    <w:rsid w:val="006F4B7B"/>
    <w:rsid w:val="006F52CB"/>
    <w:rsid w:val="006F53D3"/>
    <w:rsid w:val="006F59B7"/>
    <w:rsid w:val="006F5C6D"/>
    <w:rsid w:val="006F7156"/>
    <w:rsid w:val="006F7183"/>
    <w:rsid w:val="006F7304"/>
    <w:rsid w:val="006F7335"/>
    <w:rsid w:val="006F7A53"/>
    <w:rsid w:val="00700C03"/>
    <w:rsid w:val="00700FCF"/>
    <w:rsid w:val="00701DC0"/>
    <w:rsid w:val="0070586B"/>
    <w:rsid w:val="00705F03"/>
    <w:rsid w:val="00706075"/>
    <w:rsid w:val="007064F9"/>
    <w:rsid w:val="00707576"/>
    <w:rsid w:val="007077FA"/>
    <w:rsid w:val="00707861"/>
    <w:rsid w:val="00707C3C"/>
    <w:rsid w:val="00711AB7"/>
    <w:rsid w:val="00713E27"/>
    <w:rsid w:val="007142E9"/>
    <w:rsid w:val="00714332"/>
    <w:rsid w:val="00714BCD"/>
    <w:rsid w:val="0071734A"/>
    <w:rsid w:val="00721530"/>
    <w:rsid w:val="0072238E"/>
    <w:rsid w:val="00722868"/>
    <w:rsid w:val="007230EB"/>
    <w:rsid w:val="00723A7C"/>
    <w:rsid w:val="00725D33"/>
    <w:rsid w:val="007261FF"/>
    <w:rsid w:val="00727C7B"/>
    <w:rsid w:val="0073256D"/>
    <w:rsid w:val="00732659"/>
    <w:rsid w:val="007326DF"/>
    <w:rsid w:val="007326FD"/>
    <w:rsid w:val="007344C6"/>
    <w:rsid w:val="00735897"/>
    <w:rsid w:val="00737D95"/>
    <w:rsid w:val="0074070D"/>
    <w:rsid w:val="00743C18"/>
    <w:rsid w:val="00744422"/>
    <w:rsid w:val="0074510F"/>
    <w:rsid w:val="00745165"/>
    <w:rsid w:val="00746237"/>
    <w:rsid w:val="00746252"/>
    <w:rsid w:val="007468A5"/>
    <w:rsid w:val="00746EF4"/>
    <w:rsid w:val="00747830"/>
    <w:rsid w:val="007518DC"/>
    <w:rsid w:val="00751DBF"/>
    <w:rsid w:val="007523D0"/>
    <w:rsid w:val="00753A0A"/>
    <w:rsid w:val="007542A8"/>
    <w:rsid w:val="00754562"/>
    <w:rsid w:val="00756AB7"/>
    <w:rsid w:val="0075701B"/>
    <w:rsid w:val="007601AD"/>
    <w:rsid w:val="00761CED"/>
    <w:rsid w:val="007630C7"/>
    <w:rsid w:val="00763355"/>
    <w:rsid w:val="00763642"/>
    <w:rsid w:val="0076380E"/>
    <w:rsid w:val="00763F9D"/>
    <w:rsid w:val="00765008"/>
    <w:rsid w:val="0076528A"/>
    <w:rsid w:val="00766392"/>
    <w:rsid w:val="00770222"/>
    <w:rsid w:val="0077094E"/>
    <w:rsid w:val="00771347"/>
    <w:rsid w:val="007724D7"/>
    <w:rsid w:val="00772C7C"/>
    <w:rsid w:val="00775DD4"/>
    <w:rsid w:val="007806A4"/>
    <w:rsid w:val="00780CF6"/>
    <w:rsid w:val="00782782"/>
    <w:rsid w:val="00783200"/>
    <w:rsid w:val="00783BA1"/>
    <w:rsid w:val="00785B68"/>
    <w:rsid w:val="007864F7"/>
    <w:rsid w:val="007875E6"/>
    <w:rsid w:val="0079035B"/>
    <w:rsid w:val="00791BC1"/>
    <w:rsid w:val="00791CDF"/>
    <w:rsid w:val="00792098"/>
    <w:rsid w:val="007931D0"/>
    <w:rsid w:val="007942B3"/>
    <w:rsid w:val="0079593B"/>
    <w:rsid w:val="00795FE7"/>
    <w:rsid w:val="00797907"/>
    <w:rsid w:val="007A183C"/>
    <w:rsid w:val="007A2756"/>
    <w:rsid w:val="007A2CAC"/>
    <w:rsid w:val="007A3154"/>
    <w:rsid w:val="007A3BE8"/>
    <w:rsid w:val="007A41D8"/>
    <w:rsid w:val="007A4972"/>
    <w:rsid w:val="007A5380"/>
    <w:rsid w:val="007A5721"/>
    <w:rsid w:val="007A5D45"/>
    <w:rsid w:val="007A69F2"/>
    <w:rsid w:val="007A6C93"/>
    <w:rsid w:val="007A7A71"/>
    <w:rsid w:val="007A7B15"/>
    <w:rsid w:val="007B080E"/>
    <w:rsid w:val="007B0D46"/>
    <w:rsid w:val="007B2D49"/>
    <w:rsid w:val="007B4154"/>
    <w:rsid w:val="007B5746"/>
    <w:rsid w:val="007B6CF5"/>
    <w:rsid w:val="007B7B27"/>
    <w:rsid w:val="007B7B34"/>
    <w:rsid w:val="007B7D1D"/>
    <w:rsid w:val="007C2456"/>
    <w:rsid w:val="007C2EFD"/>
    <w:rsid w:val="007C4102"/>
    <w:rsid w:val="007C42E9"/>
    <w:rsid w:val="007C615A"/>
    <w:rsid w:val="007C616B"/>
    <w:rsid w:val="007C69FE"/>
    <w:rsid w:val="007D05A9"/>
    <w:rsid w:val="007D0FEB"/>
    <w:rsid w:val="007D110B"/>
    <w:rsid w:val="007D2588"/>
    <w:rsid w:val="007D2A67"/>
    <w:rsid w:val="007D38D0"/>
    <w:rsid w:val="007D39B3"/>
    <w:rsid w:val="007D43CB"/>
    <w:rsid w:val="007D55B2"/>
    <w:rsid w:val="007D59C2"/>
    <w:rsid w:val="007D6225"/>
    <w:rsid w:val="007D6D35"/>
    <w:rsid w:val="007D728A"/>
    <w:rsid w:val="007D7953"/>
    <w:rsid w:val="007D7F04"/>
    <w:rsid w:val="007D7FD7"/>
    <w:rsid w:val="007E0FF3"/>
    <w:rsid w:val="007E1209"/>
    <w:rsid w:val="007E1490"/>
    <w:rsid w:val="007E1BC5"/>
    <w:rsid w:val="007E243B"/>
    <w:rsid w:val="007E2541"/>
    <w:rsid w:val="007E43E7"/>
    <w:rsid w:val="007E4FD2"/>
    <w:rsid w:val="007E619B"/>
    <w:rsid w:val="007E6C09"/>
    <w:rsid w:val="007E72FD"/>
    <w:rsid w:val="007E7E45"/>
    <w:rsid w:val="007F19A0"/>
    <w:rsid w:val="007F2AB9"/>
    <w:rsid w:val="007F2CD1"/>
    <w:rsid w:val="007F32FE"/>
    <w:rsid w:val="007F47D5"/>
    <w:rsid w:val="007F6E70"/>
    <w:rsid w:val="007F708F"/>
    <w:rsid w:val="00800CC6"/>
    <w:rsid w:val="00801EDB"/>
    <w:rsid w:val="00802038"/>
    <w:rsid w:val="0080343A"/>
    <w:rsid w:val="008046D6"/>
    <w:rsid w:val="008059AA"/>
    <w:rsid w:val="00805AF4"/>
    <w:rsid w:val="00805F7C"/>
    <w:rsid w:val="00806A59"/>
    <w:rsid w:val="00806F71"/>
    <w:rsid w:val="00807895"/>
    <w:rsid w:val="008120A6"/>
    <w:rsid w:val="00812814"/>
    <w:rsid w:val="00812BEF"/>
    <w:rsid w:val="0081316C"/>
    <w:rsid w:val="00813402"/>
    <w:rsid w:val="00814761"/>
    <w:rsid w:val="0081487A"/>
    <w:rsid w:val="00814E18"/>
    <w:rsid w:val="0081582A"/>
    <w:rsid w:val="00815CF3"/>
    <w:rsid w:val="00816EE7"/>
    <w:rsid w:val="00817EB2"/>
    <w:rsid w:val="0082073D"/>
    <w:rsid w:val="0082097B"/>
    <w:rsid w:val="00821FA0"/>
    <w:rsid w:val="00822B82"/>
    <w:rsid w:val="00822EDB"/>
    <w:rsid w:val="0082328F"/>
    <w:rsid w:val="008258B3"/>
    <w:rsid w:val="00826139"/>
    <w:rsid w:val="008264E6"/>
    <w:rsid w:val="00827DC5"/>
    <w:rsid w:val="0083063B"/>
    <w:rsid w:val="0083158C"/>
    <w:rsid w:val="0083267B"/>
    <w:rsid w:val="00833556"/>
    <w:rsid w:val="00834C67"/>
    <w:rsid w:val="00834C99"/>
    <w:rsid w:val="00840DF4"/>
    <w:rsid w:val="008420FD"/>
    <w:rsid w:val="00842E10"/>
    <w:rsid w:val="00843490"/>
    <w:rsid w:val="008435C7"/>
    <w:rsid w:val="00845058"/>
    <w:rsid w:val="00846143"/>
    <w:rsid w:val="00850979"/>
    <w:rsid w:val="008515D8"/>
    <w:rsid w:val="00852B0F"/>
    <w:rsid w:val="00853C55"/>
    <w:rsid w:val="00856B8D"/>
    <w:rsid w:val="008572E1"/>
    <w:rsid w:val="00860A5F"/>
    <w:rsid w:val="0086395A"/>
    <w:rsid w:val="00864750"/>
    <w:rsid w:val="00865BFC"/>
    <w:rsid w:val="00865ED2"/>
    <w:rsid w:val="0086651F"/>
    <w:rsid w:val="00866656"/>
    <w:rsid w:val="0086709F"/>
    <w:rsid w:val="008672ED"/>
    <w:rsid w:val="00870B31"/>
    <w:rsid w:val="00871868"/>
    <w:rsid w:val="00873DC5"/>
    <w:rsid w:val="008746EE"/>
    <w:rsid w:val="00874DAA"/>
    <w:rsid w:val="00876282"/>
    <w:rsid w:val="00876B73"/>
    <w:rsid w:val="008800F1"/>
    <w:rsid w:val="008814B4"/>
    <w:rsid w:val="00881DC6"/>
    <w:rsid w:val="00882249"/>
    <w:rsid w:val="008838C3"/>
    <w:rsid w:val="00884B48"/>
    <w:rsid w:val="0088503B"/>
    <w:rsid w:val="008862F5"/>
    <w:rsid w:val="008868D7"/>
    <w:rsid w:val="00887C92"/>
    <w:rsid w:val="00890E6B"/>
    <w:rsid w:val="008928AC"/>
    <w:rsid w:val="00893ACA"/>
    <w:rsid w:val="0089427C"/>
    <w:rsid w:val="00894478"/>
    <w:rsid w:val="0089466F"/>
    <w:rsid w:val="00897967"/>
    <w:rsid w:val="008A01F9"/>
    <w:rsid w:val="008A2225"/>
    <w:rsid w:val="008A3C2D"/>
    <w:rsid w:val="008A5910"/>
    <w:rsid w:val="008A5EF9"/>
    <w:rsid w:val="008A6B6B"/>
    <w:rsid w:val="008A7460"/>
    <w:rsid w:val="008A7C6C"/>
    <w:rsid w:val="008B0241"/>
    <w:rsid w:val="008B0C58"/>
    <w:rsid w:val="008B1323"/>
    <w:rsid w:val="008B2288"/>
    <w:rsid w:val="008B243C"/>
    <w:rsid w:val="008B2DB0"/>
    <w:rsid w:val="008B3817"/>
    <w:rsid w:val="008B4A7F"/>
    <w:rsid w:val="008B59FD"/>
    <w:rsid w:val="008B6910"/>
    <w:rsid w:val="008B71F3"/>
    <w:rsid w:val="008C03CB"/>
    <w:rsid w:val="008C0AE0"/>
    <w:rsid w:val="008C0B6C"/>
    <w:rsid w:val="008C1322"/>
    <w:rsid w:val="008C18BF"/>
    <w:rsid w:val="008C2420"/>
    <w:rsid w:val="008C3171"/>
    <w:rsid w:val="008C5025"/>
    <w:rsid w:val="008C5051"/>
    <w:rsid w:val="008C64A2"/>
    <w:rsid w:val="008C65B9"/>
    <w:rsid w:val="008C68AD"/>
    <w:rsid w:val="008C6919"/>
    <w:rsid w:val="008C72BF"/>
    <w:rsid w:val="008D24A7"/>
    <w:rsid w:val="008D2C17"/>
    <w:rsid w:val="008D3571"/>
    <w:rsid w:val="008D3690"/>
    <w:rsid w:val="008D45B7"/>
    <w:rsid w:val="008D572B"/>
    <w:rsid w:val="008D64B4"/>
    <w:rsid w:val="008E24AB"/>
    <w:rsid w:val="008E31E6"/>
    <w:rsid w:val="008E45BF"/>
    <w:rsid w:val="008E494F"/>
    <w:rsid w:val="008E5276"/>
    <w:rsid w:val="008E556F"/>
    <w:rsid w:val="008E55D3"/>
    <w:rsid w:val="008E5BB2"/>
    <w:rsid w:val="008E6874"/>
    <w:rsid w:val="008E7047"/>
    <w:rsid w:val="008E751B"/>
    <w:rsid w:val="008F249D"/>
    <w:rsid w:val="008F24EF"/>
    <w:rsid w:val="008F2E31"/>
    <w:rsid w:val="008F2FC0"/>
    <w:rsid w:val="008F3E26"/>
    <w:rsid w:val="008F5D81"/>
    <w:rsid w:val="008F642A"/>
    <w:rsid w:val="008F6720"/>
    <w:rsid w:val="008F6FDC"/>
    <w:rsid w:val="008F7F49"/>
    <w:rsid w:val="009045AB"/>
    <w:rsid w:val="0090597F"/>
    <w:rsid w:val="00906978"/>
    <w:rsid w:val="00906A1B"/>
    <w:rsid w:val="00906C49"/>
    <w:rsid w:val="00906E41"/>
    <w:rsid w:val="00907F0E"/>
    <w:rsid w:val="009102A6"/>
    <w:rsid w:val="00910D00"/>
    <w:rsid w:val="00911743"/>
    <w:rsid w:val="00911862"/>
    <w:rsid w:val="00913219"/>
    <w:rsid w:val="009132FF"/>
    <w:rsid w:val="00913749"/>
    <w:rsid w:val="0091392C"/>
    <w:rsid w:val="00913E31"/>
    <w:rsid w:val="00915A6C"/>
    <w:rsid w:val="00916885"/>
    <w:rsid w:val="00916D45"/>
    <w:rsid w:val="0091740B"/>
    <w:rsid w:val="0092076D"/>
    <w:rsid w:val="009226E0"/>
    <w:rsid w:val="009234CC"/>
    <w:rsid w:val="00924D2A"/>
    <w:rsid w:val="00924EDC"/>
    <w:rsid w:val="009256B1"/>
    <w:rsid w:val="009260E0"/>
    <w:rsid w:val="00930BAD"/>
    <w:rsid w:val="0093176C"/>
    <w:rsid w:val="009334E5"/>
    <w:rsid w:val="0093449F"/>
    <w:rsid w:val="00941375"/>
    <w:rsid w:val="0094159C"/>
    <w:rsid w:val="00941EC7"/>
    <w:rsid w:val="00944C71"/>
    <w:rsid w:val="00946259"/>
    <w:rsid w:val="00947A9B"/>
    <w:rsid w:val="00952F61"/>
    <w:rsid w:val="00953696"/>
    <w:rsid w:val="00953967"/>
    <w:rsid w:val="009551A2"/>
    <w:rsid w:val="00956CB6"/>
    <w:rsid w:val="00962ABA"/>
    <w:rsid w:val="00963298"/>
    <w:rsid w:val="00963696"/>
    <w:rsid w:val="00964899"/>
    <w:rsid w:val="00965879"/>
    <w:rsid w:val="00967EFE"/>
    <w:rsid w:val="00967FF1"/>
    <w:rsid w:val="009711A8"/>
    <w:rsid w:val="0097138D"/>
    <w:rsid w:val="0097269B"/>
    <w:rsid w:val="009731A5"/>
    <w:rsid w:val="0097336D"/>
    <w:rsid w:val="00973C1F"/>
    <w:rsid w:val="0097418E"/>
    <w:rsid w:val="00974AA7"/>
    <w:rsid w:val="009776B9"/>
    <w:rsid w:val="009808B7"/>
    <w:rsid w:val="00981D68"/>
    <w:rsid w:val="00981FEE"/>
    <w:rsid w:val="00982341"/>
    <w:rsid w:val="00982392"/>
    <w:rsid w:val="00982B82"/>
    <w:rsid w:val="00982D9C"/>
    <w:rsid w:val="00983271"/>
    <w:rsid w:val="00984E87"/>
    <w:rsid w:val="00985FB5"/>
    <w:rsid w:val="0098696A"/>
    <w:rsid w:val="009874B1"/>
    <w:rsid w:val="00990525"/>
    <w:rsid w:val="00990715"/>
    <w:rsid w:val="0099099F"/>
    <w:rsid w:val="00990D64"/>
    <w:rsid w:val="009916AC"/>
    <w:rsid w:val="00991EAF"/>
    <w:rsid w:val="00992E14"/>
    <w:rsid w:val="00993139"/>
    <w:rsid w:val="00993DBC"/>
    <w:rsid w:val="00994168"/>
    <w:rsid w:val="009947E8"/>
    <w:rsid w:val="0099539F"/>
    <w:rsid w:val="00996451"/>
    <w:rsid w:val="00996922"/>
    <w:rsid w:val="00996AD0"/>
    <w:rsid w:val="009A208B"/>
    <w:rsid w:val="009A2A74"/>
    <w:rsid w:val="009A2A81"/>
    <w:rsid w:val="009A4662"/>
    <w:rsid w:val="009A4D4D"/>
    <w:rsid w:val="009A5870"/>
    <w:rsid w:val="009B035B"/>
    <w:rsid w:val="009B07F2"/>
    <w:rsid w:val="009B10A7"/>
    <w:rsid w:val="009B3367"/>
    <w:rsid w:val="009B36BF"/>
    <w:rsid w:val="009B45BF"/>
    <w:rsid w:val="009B4ABA"/>
    <w:rsid w:val="009B5656"/>
    <w:rsid w:val="009B65AF"/>
    <w:rsid w:val="009B668C"/>
    <w:rsid w:val="009C1C90"/>
    <w:rsid w:val="009C1F5F"/>
    <w:rsid w:val="009C2365"/>
    <w:rsid w:val="009C529D"/>
    <w:rsid w:val="009C56E5"/>
    <w:rsid w:val="009C57B1"/>
    <w:rsid w:val="009D160A"/>
    <w:rsid w:val="009D2107"/>
    <w:rsid w:val="009D225C"/>
    <w:rsid w:val="009D35B7"/>
    <w:rsid w:val="009D4E1C"/>
    <w:rsid w:val="009D6A1D"/>
    <w:rsid w:val="009D7A65"/>
    <w:rsid w:val="009E008C"/>
    <w:rsid w:val="009E14F6"/>
    <w:rsid w:val="009E1834"/>
    <w:rsid w:val="009E18E9"/>
    <w:rsid w:val="009E2631"/>
    <w:rsid w:val="009E2BE7"/>
    <w:rsid w:val="009E39E8"/>
    <w:rsid w:val="009E3C9E"/>
    <w:rsid w:val="009E43B9"/>
    <w:rsid w:val="009E557E"/>
    <w:rsid w:val="009E7E88"/>
    <w:rsid w:val="009F0F44"/>
    <w:rsid w:val="009F14DC"/>
    <w:rsid w:val="009F1BC1"/>
    <w:rsid w:val="009F1C9E"/>
    <w:rsid w:val="009F2901"/>
    <w:rsid w:val="009F30B7"/>
    <w:rsid w:val="009F3131"/>
    <w:rsid w:val="009F3D6C"/>
    <w:rsid w:val="009F460E"/>
    <w:rsid w:val="009F48F2"/>
    <w:rsid w:val="009F4954"/>
    <w:rsid w:val="009F4CC7"/>
    <w:rsid w:val="009F69EE"/>
    <w:rsid w:val="009F71B2"/>
    <w:rsid w:val="009F7FFB"/>
    <w:rsid w:val="00A0282C"/>
    <w:rsid w:val="00A02946"/>
    <w:rsid w:val="00A0394E"/>
    <w:rsid w:val="00A03EF0"/>
    <w:rsid w:val="00A06F04"/>
    <w:rsid w:val="00A07413"/>
    <w:rsid w:val="00A10136"/>
    <w:rsid w:val="00A10598"/>
    <w:rsid w:val="00A11D27"/>
    <w:rsid w:val="00A11D69"/>
    <w:rsid w:val="00A151D3"/>
    <w:rsid w:val="00A155A9"/>
    <w:rsid w:val="00A16063"/>
    <w:rsid w:val="00A1719F"/>
    <w:rsid w:val="00A201FE"/>
    <w:rsid w:val="00A22F26"/>
    <w:rsid w:val="00A233F8"/>
    <w:rsid w:val="00A23502"/>
    <w:rsid w:val="00A25AE3"/>
    <w:rsid w:val="00A264E7"/>
    <w:rsid w:val="00A26592"/>
    <w:rsid w:val="00A266B7"/>
    <w:rsid w:val="00A2692D"/>
    <w:rsid w:val="00A30749"/>
    <w:rsid w:val="00A3096F"/>
    <w:rsid w:val="00A31B87"/>
    <w:rsid w:val="00A31C06"/>
    <w:rsid w:val="00A32049"/>
    <w:rsid w:val="00A32758"/>
    <w:rsid w:val="00A32765"/>
    <w:rsid w:val="00A33268"/>
    <w:rsid w:val="00A335D2"/>
    <w:rsid w:val="00A336BB"/>
    <w:rsid w:val="00A33CDA"/>
    <w:rsid w:val="00A37769"/>
    <w:rsid w:val="00A378E0"/>
    <w:rsid w:val="00A40741"/>
    <w:rsid w:val="00A40A66"/>
    <w:rsid w:val="00A42341"/>
    <w:rsid w:val="00A427A6"/>
    <w:rsid w:val="00A43270"/>
    <w:rsid w:val="00A4331C"/>
    <w:rsid w:val="00A439E0"/>
    <w:rsid w:val="00A44477"/>
    <w:rsid w:val="00A4684A"/>
    <w:rsid w:val="00A50EAF"/>
    <w:rsid w:val="00A5122B"/>
    <w:rsid w:val="00A51A4B"/>
    <w:rsid w:val="00A51E2E"/>
    <w:rsid w:val="00A5378D"/>
    <w:rsid w:val="00A53E7A"/>
    <w:rsid w:val="00A541F0"/>
    <w:rsid w:val="00A54349"/>
    <w:rsid w:val="00A5598D"/>
    <w:rsid w:val="00A56240"/>
    <w:rsid w:val="00A56A48"/>
    <w:rsid w:val="00A579A5"/>
    <w:rsid w:val="00A60871"/>
    <w:rsid w:val="00A60F35"/>
    <w:rsid w:val="00A628C1"/>
    <w:rsid w:val="00A62C94"/>
    <w:rsid w:val="00A63AC7"/>
    <w:rsid w:val="00A63D9F"/>
    <w:rsid w:val="00A64677"/>
    <w:rsid w:val="00A64CF8"/>
    <w:rsid w:val="00A65597"/>
    <w:rsid w:val="00A659E9"/>
    <w:rsid w:val="00A65C61"/>
    <w:rsid w:val="00A6655E"/>
    <w:rsid w:val="00A66E57"/>
    <w:rsid w:val="00A67894"/>
    <w:rsid w:val="00A67E8E"/>
    <w:rsid w:val="00A7131D"/>
    <w:rsid w:val="00A719F7"/>
    <w:rsid w:val="00A71ED6"/>
    <w:rsid w:val="00A74411"/>
    <w:rsid w:val="00A75D3A"/>
    <w:rsid w:val="00A76FA1"/>
    <w:rsid w:val="00A772FF"/>
    <w:rsid w:val="00A77B75"/>
    <w:rsid w:val="00A77CB7"/>
    <w:rsid w:val="00A80406"/>
    <w:rsid w:val="00A80980"/>
    <w:rsid w:val="00A82060"/>
    <w:rsid w:val="00A82812"/>
    <w:rsid w:val="00A82832"/>
    <w:rsid w:val="00A82DA3"/>
    <w:rsid w:val="00A849A2"/>
    <w:rsid w:val="00A84C5B"/>
    <w:rsid w:val="00A8642B"/>
    <w:rsid w:val="00A86ECA"/>
    <w:rsid w:val="00A87FC3"/>
    <w:rsid w:val="00A90D04"/>
    <w:rsid w:val="00A9192D"/>
    <w:rsid w:val="00A92702"/>
    <w:rsid w:val="00A93127"/>
    <w:rsid w:val="00A9379C"/>
    <w:rsid w:val="00A9443B"/>
    <w:rsid w:val="00A96868"/>
    <w:rsid w:val="00AA023A"/>
    <w:rsid w:val="00AA0322"/>
    <w:rsid w:val="00AA039C"/>
    <w:rsid w:val="00AA0949"/>
    <w:rsid w:val="00AA2EAB"/>
    <w:rsid w:val="00AA3816"/>
    <w:rsid w:val="00AA460B"/>
    <w:rsid w:val="00AA557E"/>
    <w:rsid w:val="00AA5F24"/>
    <w:rsid w:val="00AA7128"/>
    <w:rsid w:val="00AA759A"/>
    <w:rsid w:val="00AA7A98"/>
    <w:rsid w:val="00AB00D4"/>
    <w:rsid w:val="00AB0374"/>
    <w:rsid w:val="00AB18C1"/>
    <w:rsid w:val="00AB40E7"/>
    <w:rsid w:val="00AB586E"/>
    <w:rsid w:val="00AB6B18"/>
    <w:rsid w:val="00AB75CB"/>
    <w:rsid w:val="00AB781C"/>
    <w:rsid w:val="00AC038B"/>
    <w:rsid w:val="00AC056E"/>
    <w:rsid w:val="00AC0B55"/>
    <w:rsid w:val="00AC1A74"/>
    <w:rsid w:val="00AC229B"/>
    <w:rsid w:val="00AC2B4C"/>
    <w:rsid w:val="00AC3530"/>
    <w:rsid w:val="00AC35CE"/>
    <w:rsid w:val="00AC4211"/>
    <w:rsid w:val="00AC58D8"/>
    <w:rsid w:val="00AC5C79"/>
    <w:rsid w:val="00AC6367"/>
    <w:rsid w:val="00AC65CD"/>
    <w:rsid w:val="00AC6AA8"/>
    <w:rsid w:val="00AC7D27"/>
    <w:rsid w:val="00AD1DCC"/>
    <w:rsid w:val="00AD3156"/>
    <w:rsid w:val="00AD31B2"/>
    <w:rsid w:val="00AD39D6"/>
    <w:rsid w:val="00AD3EA9"/>
    <w:rsid w:val="00AD4095"/>
    <w:rsid w:val="00AD4EA0"/>
    <w:rsid w:val="00AD51B5"/>
    <w:rsid w:val="00AD5CA4"/>
    <w:rsid w:val="00AD6E0D"/>
    <w:rsid w:val="00AD704F"/>
    <w:rsid w:val="00AD7CE4"/>
    <w:rsid w:val="00AE28C0"/>
    <w:rsid w:val="00AE3189"/>
    <w:rsid w:val="00AE360E"/>
    <w:rsid w:val="00AE3CE5"/>
    <w:rsid w:val="00AE4C28"/>
    <w:rsid w:val="00AE5B0B"/>
    <w:rsid w:val="00AE5B1B"/>
    <w:rsid w:val="00AE66E8"/>
    <w:rsid w:val="00AE6F30"/>
    <w:rsid w:val="00AE741D"/>
    <w:rsid w:val="00AF04B1"/>
    <w:rsid w:val="00AF3AFF"/>
    <w:rsid w:val="00AF68D2"/>
    <w:rsid w:val="00AF6A10"/>
    <w:rsid w:val="00AF7D73"/>
    <w:rsid w:val="00B009B6"/>
    <w:rsid w:val="00B015B3"/>
    <w:rsid w:val="00B043B1"/>
    <w:rsid w:val="00B04736"/>
    <w:rsid w:val="00B0562E"/>
    <w:rsid w:val="00B07ACA"/>
    <w:rsid w:val="00B1160A"/>
    <w:rsid w:val="00B12285"/>
    <w:rsid w:val="00B12F7A"/>
    <w:rsid w:val="00B13847"/>
    <w:rsid w:val="00B13A03"/>
    <w:rsid w:val="00B13EB5"/>
    <w:rsid w:val="00B15919"/>
    <w:rsid w:val="00B165C3"/>
    <w:rsid w:val="00B173E0"/>
    <w:rsid w:val="00B21C07"/>
    <w:rsid w:val="00B22CC1"/>
    <w:rsid w:val="00B22E36"/>
    <w:rsid w:val="00B22F09"/>
    <w:rsid w:val="00B23079"/>
    <w:rsid w:val="00B2329B"/>
    <w:rsid w:val="00B262A7"/>
    <w:rsid w:val="00B26EF1"/>
    <w:rsid w:val="00B27637"/>
    <w:rsid w:val="00B30285"/>
    <w:rsid w:val="00B3042C"/>
    <w:rsid w:val="00B3105D"/>
    <w:rsid w:val="00B317E2"/>
    <w:rsid w:val="00B33210"/>
    <w:rsid w:val="00B34185"/>
    <w:rsid w:val="00B360A4"/>
    <w:rsid w:val="00B3638C"/>
    <w:rsid w:val="00B36416"/>
    <w:rsid w:val="00B36713"/>
    <w:rsid w:val="00B37A36"/>
    <w:rsid w:val="00B42ACD"/>
    <w:rsid w:val="00B43A83"/>
    <w:rsid w:val="00B43E1B"/>
    <w:rsid w:val="00B44FAB"/>
    <w:rsid w:val="00B45181"/>
    <w:rsid w:val="00B45ACF"/>
    <w:rsid w:val="00B4693B"/>
    <w:rsid w:val="00B46BE0"/>
    <w:rsid w:val="00B4747B"/>
    <w:rsid w:val="00B4760E"/>
    <w:rsid w:val="00B47D42"/>
    <w:rsid w:val="00B5093D"/>
    <w:rsid w:val="00B51657"/>
    <w:rsid w:val="00B51F5B"/>
    <w:rsid w:val="00B5209E"/>
    <w:rsid w:val="00B5237E"/>
    <w:rsid w:val="00B53DD0"/>
    <w:rsid w:val="00B540D6"/>
    <w:rsid w:val="00B56154"/>
    <w:rsid w:val="00B56691"/>
    <w:rsid w:val="00B567A7"/>
    <w:rsid w:val="00B576FE"/>
    <w:rsid w:val="00B62F58"/>
    <w:rsid w:val="00B6374B"/>
    <w:rsid w:val="00B639B1"/>
    <w:rsid w:val="00B65199"/>
    <w:rsid w:val="00B656F6"/>
    <w:rsid w:val="00B65CC7"/>
    <w:rsid w:val="00B70F5C"/>
    <w:rsid w:val="00B71D34"/>
    <w:rsid w:val="00B72341"/>
    <w:rsid w:val="00B72871"/>
    <w:rsid w:val="00B73DD0"/>
    <w:rsid w:val="00B73EE0"/>
    <w:rsid w:val="00B75496"/>
    <w:rsid w:val="00B77BFF"/>
    <w:rsid w:val="00B80C2F"/>
    <w:rsid w:val="00B817F8"/>
    <w:rsid w:val="00B81FC4"/>
    <w:rsid w:val="00B82BFF"/>
    <w:rsid w:val="00B8386D"/>
    <w:rsid w:val="00B8463B"/>
    <w:rsid w:val="00B9509E"/>
    <w:rsid w:val="00B97A86"/>
    <w:rsid w:val="00BA1E38"/>
    <w:rsid w:val="00BA2855"/>
    <w:rsid w:val="00BA4F68"/>
    <w:rsid w:val="00BA5239"/>
    <w:rsid w:val="00BA5243"/>
    <w:rsid w:val="00BA53E3"/>
    <w:rsid w:val="00BA5C35"/>
    <w:rsid w:val="00BA7F0E"/>
    <w:rsid w:val="00BB2B8F"/>
    <w:rsid w:val="00BB3917"/>
    <w:rsid w:val="00BB3DD0"/>
    <w:rsid w:val="00BB4DB2"/>
    <w:rsid w:val="00BB62C0"/>
    <w:rsid w:val="00BB6E42"/>
    <w:rsid w:val="00BC2B1C"/>
    <w:rsid w:val="00BC2F52"/>
    <w:rsid w:val="00BC37CB"/>
    <w:rsid w:val="00BC3BE9"/>
    <w:rsid w:val="00BC3F75"/>
    <w:rsid w:val="00BC43F2"/>
    <w:rsid w:val="00BC4872"/>
    <w:rsid w:val="00BC4A5B"/>
    <w:rsid w:val="00BC5308"/>
    <w:rsid w:val="00BC5338"/>
    <w:rsid w:val="00BC5CD5"/>
    <w:rsid w:val="00BC63AA"/>
    <w:rsid w:val="00BD15C0"/>
    <w:rsid w:val="00BD2484"/>
    <w:rsid w:val="00BD2907"/>
    <w:rsid w:val="00BD30F5"/>
    <w:rsid w:val="00BD48E3"/>
    <w:rsid w:val="00BD4CCD"/>
    <w:rsid w:val="00BD5796"/>
    <w:rsid w:val="00BE107B"/>
    <w:rsid w:val="00BE22A3"/>
    <w:rsid w:val="00BE4406"/>
    <w:rsid w:val="00BE578D"/>
    <w:rsid w:val="00BE5C6C"/>
    <w:rsid w:val="00BE6ADB"/>
    <w:rsid w:val="00BE71C3"/>
    <w:rsid w:val="00BE76D7"/>
    <w:rsid w:val="00BF0295"/>
    <w:rsid w:val="00BF08B5"/>
    <w:rsid w:val="00BF3AC4"/>
    <w:rsid w:val="00BF5412"/>
    <w:rsid w:val="00BF5708"/>
    <w:rsid w:val="00C00867"/>
    <w:rsid w:val="00C00B3F"/>
    <w:rsid w:val="00C01344"/>
    <w:rsid w:val="00C02F89"/>
    <w:rsid w:val="00C03822"/>
    <w:rsid w:val="00C03E8C"/>
    <w:rsid w:val="00C044A5"/>
    <w:rsid w:val="00C06588"/>
    <w:rsid w:val="00C07152"/>
    <w:rsid w:val="00C107C7"/>
    <w:rsid w:val="00C11F93"/>
    <w:rsid w:val="00C13572"/>
    <w:rsid w:val="00C136F8"/>
    <w:rsid w:val="00C14D7E"/>
    <w:rsid w:val="00C1572A"/>
    <w:rsid w:val="00C16061"/>
    <w:rsid w:val="00C171F9"/>
    <w:rsid w:val="00C209A3"/>
    <w:rsid w:val="00C20BD5"/>
    <w:rsid w:val="00C21ACC"/>
    <w:rsid w:val="00C220C2"/>
    <w:rsid w:val="00C228CF"/>
    <w:rsid w:val="00C23D74"/>
    <w:rsid w:val="00C25284"/>
    <w:rsid w:val="00C31066"/>
    <w:rsid w:val="00C32FF4"/>
    <w:rsid w:val="00C338AD"/>
    <w:rsid w:val="00C34238"/>
    <w:rsid w:val="00C352EC"/>
    <w:rsid w:val="00C35E8A"/>
    <w:rsid w:val="00C37109"/>
    <w:rsid w:val="00C37E29"/>
    <w:rsid w:val="00C40A7F"/>
    <w:rsid w:val="00C41C26"/>
    <w:rsid w:val="00C434E3"/>
    <w:rsid w:val="00C45373"/>
    <w:rsid w:val="00C467F6"/>
    <w:rsid w:val="00C470E3"/>
    <w:rsid w:val="00C47205"/>
    <w:rsid w:val="00C50603"/>
    <w:rsid w:val="00C510DE"/>
    <w:rsid w:val="00C525E2"/>
    <w:rsid w:val="00C547D7"/>
    <w:rsid w:val="00C55D83"/>
    <w:rsid w:val="00C6071A"/>
    <w:rsid w:val="00C613F7"/>
    <w:rsid w:val="00C62ED6"/>
    <w:rsid w:val="00C65AA6"/>
    <w:rsid w:val="00C65E20"/>
    <w:rsid w:val="00C662CB"/>
    <w:rsid w:val="00C70D97"/>
    <w:rsid w:val="00C73616"/>
    <w:rsid w:val="00C7387B"/>
    <w:rsid w:val="00C73DF9"/>
    <w:rsid w:val="00C757C9"/>
    <w:rsid w:val="00C766ED"/>
    <w:rsid w:val="00C767F2"/>
    <w:rsid w:val="00C80B06"/>
    <w:rsid w:val="00C80B73"/>
    <w:rsid w:val="00C80D31"/>
    <w:rsid w:val="00C83336"/>
    <w:rsid w:val="00C856AF"/>
    <w:rsid w:val="00C85C1F"/>
    <w:rsid w:val="00C86059"/>
    <w:rsid w:val="00C912D5"/>
    <w:rsid w:val="00C9347B"/>
    <w:rsid w:val="00C93B4C"/>
    <w:rsid w:val="00C93DC1"/>
    <w:rsid w:val="00C94C16"/>
    <w:rsid w:val="00C955C0"/>
    <w:rsid w:val="00C9584F"/>
    <w:rsid w:val="00C9714B"/>
    <w:rsid w:val="00C97722"/>
    <w:rsid w:val="00C97D1C"/>
    <w:rsid w:val="00CA0231"/>
    <w:rsid w:val="00CA07B2"/>
    <w:rsid w:val="00CA1822"/>
    <w:rsid w:val="00CA1A5B"/>
    <w:rsid w:val="00CA35B1"/>
    <w:rsid w:val="00CA3D31"/>
    <w:rsid w:val="00CA5381"/>
    <w:rsid w:val="00CA797C"/>
    <w:rsid w:val="00CB0A78"/>
    <w:rsid w:val="00CB0F75"/>
    <w:rsid w:val="00CB11AD"/>
    <w:rsid w:val="00CB121B"/>
    <w:rsid w:val="00CB1E1C"/>
    <w:rsid w:val="00CB2324"/>
    <w:rsid w:val="00CB2555"/>
    <w:rsid w:val="00CB2F8D"/>
    <w:rsid w:val="00CB3C91"/>
    <w:rsid w:val="00CB3FF4"/>
    <w:rsid w:val="00CB4089"/>
    <w:rsid w:val="00CB41D6"/>
    <w:rsid w:val="00CB5139"/>
    <w:rsid w:val="00CB5220"/>
    <w:rsid w:val="00CB5BAC"/>
    <w:rsid w:val="00CB7BB0"/>
    <w:rsid w:val="00CC0ECC"/>
    <w:rsid w:val="00CC1390"/>
    <w:rsid w:val="00CC1AEC"/>
    <w:rsid w:val="00CC23C6"/>
    <w:rsid w:val="00CC29BB"/>
    <w:rsid w:val="00CC4846"/>
    <w:rsid w:val="00CC4CED"/>
    <w:rsid w:val="00CC7F79"/>
    <w:rsid w:val="00CD0A01"/>
    <w:rsid w:val="00CD0C78"/>
    <w:rsid w:val="00CD1A9F"/>
    <w:rsid w:val="00CD4326"/>
    <w:rsid w:val="00CD4400"/>
    <w:rsid w:val="00CD5475"/>
    <w:rsid w:val="00CD716A"/>
    <w:rsid w:val="00CD72F7"/>
    <w:rsid w:val="00CE00B2"/>
    <w:rsid w:val="00CE0A73"/>
    <w:rsid w:val="00CE1392"/>
    <w:rsid w:val="00CE2999"/>
    <w:rsid w:val="00CE2B69"/>
    <w:rsid w:val="00CE4AB2"/>
    <w:rsid w:val="00CE6F70"/>
    <w:rsid w:val="00CE70EA"/>
    <w:rsid w:val="00CE7A03"/>
    <w:rsid w:val="00CE7DDC"/>
    <w:rsid w:val="00CF3098"/>
    <w:rsid w:val="00CF3E4C"/>
    <w:rsid w:val="00CF4271"/>
    <w:rsid w:val="00CF5507"/>
    <w:rsid w:val="00CF71C8"/>
    <w:rsid w:val="00CF7748"/>
    <w:rsid w:val="00CF7DDE"/>
    <w:rsid w:val="00D00C11"/>
    <w:rsid w:val="00D012AA"/>
    <w:rsid w:val="00D016E2"/>
    <w:rsid w:val="00D02F63"/>
    <w:rsid w:val="00D035F6"/>
    <w:rsid w:val="00D03C57"/>
    <w:rsid w:val="00D04698"/>
    <w:rsid w:val="00D048A5"/>
    <w:rsid w:val="00D06357"/>
    <w:rsid w:val="00D07433"/>
    <w:rsid w:val="00D07ACD"/>
    <w:rsid w:val="00D11097"/>
    <w:rsid w:val="00D1174E"/>
    <w:rsid w:val="00D119E3"/>
    <w:rsid w:val="00D1247B"/>
    <w:rsid w:val="00D12F1F"/>
    <w:rsid w:val="00D141E1"/>
    <w:rsid w:val="00D14D28"/>
    <w:rsid w:val="00D15000"/>
    <w:rsid w:val="00D15D5E"/>
    <w:rsid w:val="00D167FB"/>
    <w:rsid w:val="00D179D0"/>
    <w:rsid w:val="00D17E9D"/>
    <w:rsid w:val="00D20FA8"/>
    <w:rsid w:val="00D226AC"/>
    <w:rsid w:val="00D22AC4"/>
    <w:rsid w:val="00D23EDA"/>
    <w:rsid w:val="00D24CAC"/>
    <w:rsid w:val="00D259B8"/>
    <w:rsid w:val="00D26422"/>
    <w:rsid w:val="00D26A3C"/>
    <w:rsid w:val="00D26AF3"/>
    <w:rsid w:val="00D34901"/>
    <w:rsid w:val="00D35A33"/>
    <w:rsid w:val="00D36928"/>
    <w:rsid w:val="00D4049F"/>
    <w:rsid w:val="00D412A1"/>
    <w:rsid w:val="00D41A8C"/>
    <w:rsid w:val="00D4618C"/>
    <w:rsid w:val="00D477FA"/>
    <w:rsid w:val="00D50269"/>
    <w:rsid w:val="00D51210"/>
    <w:rsid w:val="00D51788"/>
    <w:rsid w:val="00D51F35"/>
    <w:rsid w:val="00D527F2"/>
    <w:rsid w:val="00D54485"/>
    <w:rsid w:val="00D5528E"/>
    <w:rsid w:val="00D5598C"/>
    <w:rsid w:val="00D57069"/>
    <w:rsid w:val="00D573E4"/>
    <w:rsid w:val="00D6002C"/>
    <w:rsid w:val="00D60905"/>
    <w:rsid w:val="00D60BEF"/>
    <w:rsid w:val="00D621C9"/>
    <w:rsid w:val="00D62499"/>
    <w:rsid w:val="00D63603"/>
    <w:rsid w:val="00D637F5"/>
    <w:rsid w:val="00D65FC9"/>
    <w:rsid w:val="00D67C58"/>
    <w:rsid w:val="00D70073"/>
    <w:rsid w:val="00D70D50"/>
    <w:rsid w:val="00D719D2"/>
    <w:rsid w:val="00D71FA0"/>
    <w:rsid w:val="00D7201B"/>
    <w:rsid w:val="00D72EAC"/>
    <w:rsid w:val="00D72EE3"/>
    <w:rsid w:val="00D735EB"/>
    <w:rsid w:val="00D745F1"/>
    <w:rsid w:val="00D7536C"/>
    <w:rsid w:val="00D753E4"/>
    <w:rsid w:val="00D7591E"/>
    <w:rsid w:val="00D75A7C"/>
    <w:rsid w:val="00D76B06"/>
    <w:rsid w:val="00D81B5A"/>
    <w:rsid w:val="00D82C06"/>
    <w:rsid w:val="00D837DF"/>
    <w:rsid w:val="00D83C72"/>
    <w:rsid w:val="00D83D77"/>
    <w:rsid w:val="00D845D3"/>
    <w:rsid w:val="00D846B3"/>
    <w:rsid w:val="00D853B2"/>
    <w:rsid w:val="00D8568A"/>
    <w:rsid w:val="00D866A6"/>
    <w:rsid w:val="00D87227"/>
    <w:rsid w:val="00D87600"/>
    <w:rsid w:val="00D90442"/>
    <w:rsid w:val="00D90E6C"/>
    <w:rsid w:val="00D93838"/>
    <w:rsid w:val="00D94407"/>
    <w:rsid w:val="00D9445F"/>
    <w:rsid w:val="00D945CD"/>
    <w:rsid w:val="00D94CC5"/>
    <w:rsid w:val="00D951C9"/>
    <w:rsid w:val="00D9660D"/>
    <w:rsid w:val="00D97CC4"/>
    <w:rsid w:val="00DA0552"/>
    <w:rsid w:val="00DA0830"/>
    <w:rsid w:val="00DA1CD2"/>
    <w:rsid w:val="00DA2347"/>
    <w:rsid w:val="00DA241F"/>
    <w:rsid w:val="00DA2D34"/>
    <w:rsid w:val="00DA3F01"/>
    <w:rsid w:val="00DA4EDF"/>
    <w:rsid w:val="00DA6590"/>
    <w:rsid w:val="00DA69FB"/>
    <w:rsid w:val="00DA74C6"/>
    <w:rsid w:val="00DA77C1"/>
    <w:rsid w:val="00DB0164"/>
    <w:rsid w:val="00DB3C5B"/>
    <w:rsid w:val="00DB4F7E"/>
    <w:rsid w:val="00DB5180"/>
    <w:rsid w:val="00DB5617"/>
    <w:rsid w:val="00DB6252"/>
    <w:rsid w:val="00DB64CD"/>
    <w:rsid w:val="00DB6FB2"/>
    <w:rsid w:val="00DB7A02"/>
    <w:rsid w:val="00DC03FE"/>
    <w:rsid w:val="00DC05C7"/>
    <w:rsid w:val="00DC05E2"/>
    <w:rsid w:val="00DC0DE5"/>
    <w:rsid w:val="00DC1C67"/>
    <w:rsid w:val="00DC2404"/>
    <w:rsid w:val="00DC2581"/>
    <w:rsid w:val="00DC2993"/>
    <w:rsid w:val="00DC5342"/>
    <w:rsid w:val="00DC53DC"/>
    <w:rsid w:val="00DC5D56"/>
    <w:rsid w:val="00DC63DE"/>
    <w:rsid w:val="00DC72D7"/>
    <w:rsid w:val="00DC76F0"/>
    <w:rsid w:val="00DD0902"/>
    <w:rsid w:val="00DD124B"/>
    <w:rsid w:val="00DD1E99"/>
    <w:rsid w:val="00DD240C"/>
    <w:rsid w:val="00DD2994"/>
    <w:rsid w:val="00DD3B6A"/>
    <w:rsid w:val="00DD4127"/>
    <w:rsid w:val="00DD488A"/>
    <w:rsid w:val="00DD6457"/>
    <w:rsid w:val="00DD662F"/>
    <w:rsid w:val="00DD7080"/>
    <w:rsid w:val="00DD76C4"/>
    <w:rsid w:val="00DE04DD"/>
    <w:rsid w:val="00DE1C7F"/>
    <w:rsid w:val="00DE20F7"/>
    <w:rsid w:val="00DE2CB3"/>
    <w:rsid w:val="00DE3BAE"/>
    <w:rsid w:val="00DE3C02"/>
    <w:rsid w:val="00DE47FC"/>
    <w:rsid w:val="00DE4AD3"/>
    <w:rsid w:val="00DE6572"/>
    <w:rsid w:val="00DE7539"/>
    <w:rsid w:val="00DF00A9"/>
    <w:rsid w:val="00DF0144"/>
    <w:rsid w:val="00DF02B3"/>
    <w:rsid w:val="00DF0880"/>
    <w:rsid w:val="00DF1040"/>
    <w:rsid w:val="00DF2FF1"/>
    <w:rsid w:val="00DF309D"/>
    <w:rsid w:val="00DF3E64"/>
    <w:rsid w:val="00DF4185"/>
    <w:rsid w:val="00DF4771"/>
    <w:rsid w:val="00DF4FD9"/>
    <w:rsid w:val="00DF5AC9"/>
    <w:rsid w:val="00DF5CCA"/>
    <w:rsid w:val="00DF72AE"/>
    <w:rsid w:val="00E00758"/>
    <w:rsid w:val="00E007EA"/>
    <w:rsid w:val="00E00937"/>
    <w:rsid w:val="00E029FB"/>
    <w:rsid w:val="00E0370D"/>
    <w:rsid w:val="00E03B0E"/>
    <w:rsid w:val="00E04514"/>
    <w:rsid w:val="00E04B34"/>
    <w:rsid w:val="00E0676B"/>
    <w:rsid w:val="00E069DE"/>
    <w:rsid w:val="00E07C02"/>
    <w:rsid w:val="00E07C08"/>
    <w:rsid w:val="00E10CE0"/>
    <w:rsid w:val="00E1126C"/>
    <w:rsid w:val="00E115D5"/>
    <w:rsid w:val="00E122C3"/>
    <w:rsid w:val="00E12340"/>
    <w:rsid w:val="00E12BBC"/>
    <w:rsid w:val="00E138C1"/>
    <w:rsid w:val="00E15C0F"/>
    <w:rsid w:val="00E21405"/>
    <w:rsid w:val="00E21914"/>
    <w:rsid w:val="00E22392"/>
    <w:rsid w:val="00E230EF"/>
    <w:rsid w:val="00E247D8"/>
    <w:rsid w:val="00E25498"/>
    <w:rsid w:val="00E268CF"/>
    <w:rsid w:val="00E26CE4"/>
    <w:rsid w:val="00E2725B"/>
    <w:rsid w:val="00E27D6B"/>
    <w:rsid w:val="00E339F7"/>
    <w:rsid w:val="00E33B69"/>
    <w:rsid w:val="00E3438D"/>
    <w:rsid w:val="00E34719"/>
    <w:rsid w:val="00E357F7"/>
    <w:rsid w:val="00E35CA4"/>
    <w:rsid w:val="00E360E6"/>
    <w:rsid w:val="00E37E6C"/>
    <w:rsid w:val="00E37F66"/>
    <w:rsid w:val="00E4061C"/>
    <w:rsid w:val="00E40728"/>
    <w:rsid w:val="00E40873"/>
    <w:rsid w:val="00E4260D"/>
    <w:rsid w:val="00E44D91"/>
    <w:rsid w:val="00E46D50"/>
    <w:rsid w:val="00E50295"/>
    <w:rsid w:val="00E526D0"/>
    <w:rsid w:val="00E52BB2"/>
    <w:rsid w:val="00E53F8D"/>
    <w:rsid w:val="00E5417B"/>
    <w:rsid w:val="00E542CD"/>
    <w:rsid w:val="00E54355"/>
    <w:rsid w:val="00E569BC"/>
    <w:rsid w:val="00E569BF"/>
    <w:rsid w:val="00E56F45"/>
    <w:rsid w:val="00E572B5"/>
    <w:rsid w:val="00E57505"/>
    <w:rsid w:val="00E57AAD"/>
    <w:rsid w:val="00E62590"/>
    <w:rsid w:val="00E6354B"/>
    <w:rsid w:val="00E656AB"/>
    <w:rsid w:val="00E65D1E"/>
    <w:rsid w:val="00E66085"/>
    <w:rsid w:val="00E666D2"/>
    <w:rsid w:val="00E66EB8"/>
    <w:rsid w:val="00E672F3"/>
    <w:rsid w:val="00E6768E"/>
    <w:rsid w:val="00E70C70"/>
    <w:rsid w:val="00E71645"/>
    <w:rsid w:val="00E727F0"/>
    <w:rsid w:val="00E74282"/>
    <w:rsid w:val="00E74A2D"/>
    <w:rsid w:val="00E74F3A"/>
    <w:rsid w:val="00E755AF"/>
    <w:rsid w:val="00E8092E"/>
    <w:rsid w:val="00E8118C"/>
    <w:rsid w:val="00E81300"/>
    <w:rsid w:val="00E829E3"/>
    <w:rsid w:val="00E859F4"/>
    <w:rsid w:val="00E8670F"/>
    <w:rsid w:val="00E87B93"/>
    <w:rsid w:val="00E90656"/>
    <w:rsid w:val="00E91943"/>
    <w:rsid w:val="00E94308"/>
    <w:rsid w:val="00E95C14"/>
    <w:rsid w:val="00E97994"/>
    <w:rsid w:val="00EA006A"/>
    <w:rsid w:val="00EA21DC"/>
    <w:rsid w:val="00EA2DCB"/>
    <w:rsid w:val="00EA32CE"/>
    <w:rsid w:val="00EA3CD8"/>
    <w:rsid w:val="00EA7517"/>
    <w:rsid w:val="00EB16CB"/>
    <w:rsid w:val="00EB1806"/>
    <w:rsid w:val="00EB18A8"/>
    <w:rsid w:val="00EB3338"/>
    <w:rsid w:val="00EB33E6"/>
    <w:rsid w:val="00EB341D"/>
    <w:rsid w:val="00EB3694"/>
    <w:rsid w:val="00EB3A8D"/>
    <w:rsid w:val="00EB53C6"/>
    <w:rsid w:val="00EB5525"/>
    <w:rsid w:val="00EB6195"/>
    <w:rsid w:val="00EB6A8A"/>
    <w:rsid w:val="00EB7AD3"/>
    <w:rsid w:val="00EC029E"/>
    <w:rsid w:val="00EC0C4A"/>
    <w:rsid w:val="00EC1363"/>
    <w:rsid w:val="00EC40A9"/>
    <w:rsid w:val="00EC4A79"/>
    <w:rsid w:val="00EC5776"/>
    <w:rsid w:val="00EC6E3E"/>
    <w:rsid w:val="00EC7922"/>
    <w:rsid w:val="00ED0089"/>
    <w:rsid w:val="00ED0376"/>
    <w:rsid w:val="00ED03D7"/>
    <w:rsid w:val="00ED243B"/>
    <w:rsid w:val="00ED3C97"/>
    <w:rsid w:val="00ED458F"/>
    <w:rsid w:val="00ED4C30"/>
    <w:rsid w:val="00ED7122"/>
    <w:rsid w:val="00ED78CC"/>
    <w:rsid w:val="00EE0A79"/>
    <w:rsid w:val="00EE4D9A"/>
    <w:rsid w:val="00EE7923"/>
    <w:rsid w:val="00EF0590"/>
    <w:rsid w:val="00EF06FD"/>
    <w:rsid w:val="00EF1947"/>
    <w:rsid w:val="00EF2DCF"/>
    <w:rsid w:val="00EF2EB3"/>
    <w:rsid w:val="00EF3AA7"/>
    <w:rsid w:val="00EF4F26"/>
    <w:rsid w:val="00EF4FC3"/>
    <w:rsid w:val="00EF5C3B"/>
    <w:rsid w:val="00EF5D4F"/>
    <w:rsid w:val="00EF6F4C"/>
    <w:rsid w:val="00EF7531"/>
    <w:rsid w:val="00F00337"/>
    <w:rsid w:val="00F02347"/>
    <w:rsid w:val="00F03AF6"/>
    <w:rsid w:val="00F04745"/>
    <w:rsid w:val="00F04D4E"/>
    <w:rsid w:val="00F05CA2"/>
    <w:rsid w:val="00F05FC3"/>
    <w:rsid w:val="00F07A02"/>
    <w:rsid w:val="00F07B77"/>
    <w:rsid w:val="00F115B2"/>
    <w:rsid w:val="00F11DFE"/>
    <w:rsid w:val="00F12C6C"/>
    <w:rsid w:val="00F12E7C"/>
    <w:rsid w:val="00F1325D"/>
    <w:rsid w:val="00F133FC"/>
    <w:rsid w:val="00F1442B"/>
    <w:rsid w:val="00F14BCE"/>
    <w:rsid w:val="00F14F39"/>
    <w:rsid w:val="00F15113"/>
    <w:rsid w:val="00F16101"/>
    <w:rsid w:val="00F1616C"/>
    <w:rsid w:val="00F17915"/>
    <w:rsid w:val="00F213CF"/>
    <w:rsid w:val="00F22816"/>
    <w:rsid w:val="00F2445B"/>
    <w:rsid w:val="00F24CF5"/>
    <w:rsid w:val="00F26682"/>
    <w:rsid w:val="00F31B21"/>
    <w:rsid w:val="00F31D1E"/>
    <w:rsid w:val="00F321F7"/>
    <w:rsid w:val="00F32B55"/>
    <w:rsid w:val="00F33379"/>
    <w:rsid w:val="00F33608"/>
    <w:rsid w:val="00F33B93"/>
    <w:rsid w:val="00F342E4"/>
    <w:rsid w:val="00F3482E"/>
    <w:rsid w:val="00F3512D"/>
    <w:rsid w:val="00F36744"/>
    <w:rsid w:val="00F36F18"/>
    <w:rsid w:val="00F37285"/>
    <w:rsid w:val="00F41995"/>
    <w:rsid w:val="00F42666"/>
    <w:rsid w:val="00F439C5"/>
    <w:rsid w:val="00F4468B"/>
    <w:rsid w:val="00F44BA4"/>
    <w:rsid w:val="00F45121"/>
    <w:rsid w:val="00F452FB"/>
    <w:rsid w:val="00F4603A"/>
    <w:rsid w:val="00F466B3"/>
    <w:rsid w:val="00F466F1"/>
    <w:rsid w:val="00F51AB4"/>
    <w:rsid w:val="00F52148"/>
    <w:rsid w:val="00F52992"/>
    <w:rsid w:val="00F538BE"/>
    <w:rsid w:val="00F53E22"/>
    <w:rsid w:val="00F5493F"/>
    <w:rsid w:val="00F55FE1"/>
    <w:rsid w:val="00F56118"/>
    <w:rsid w:val="00F562CA"/>
    <w:rsid w:val="00F56636"/>
    <w:rsid w:val="00F6201E"/>
    <w:rsid w:val="00F638BE"/>
    <w:rsid w:val="00F638D1"/>
    <w:rsid w:val="00F64A78"/>
    <w:rsid w:val="00F64F9F"/>
    <w:rsid w:val="00F666A7"/>
    <w:rsid w:val="00F66FB4"/>
    <w:rsid w:val="00F67BEB"/>
    <w:rsid w:val="00F72258"/>
    <w:rsid w:val="00F72498"/>
    <w:rsid w:val="00F73610"/>
    <w:rsid w:val="00F7425A"/>
    <w:rsid w:val="00F74E51"/>
    <w:rsid w:val="00F75333"/>
    <w:rsid w:val="00F7645A"/>
    <w:rsid w:val="00F77BFA"/>
    <w:rsid w:val="00F77ECC"/>
    <w:rsid w:val="00F802C1"/>
    <w:rsid w:val="00F804C2"/>
    <w:rsid w:val="00F8317C"/>
    <w:rsid w:val="00F83B37"/>
    <w:rsid w:val="00F84719"/>
    <w:rsid w:val="00F85194"/>
    <w:rsid w:val="00F856A0"/>
    <w:rsid w:val="00F860B9"/>
    <w:rsid w:val="00F8621A"/>
    <w:rsid w:val="00F86512"/>
    <w:rsid w:val="00F90A2F"/>
    <w:rsid w:val="00F91E77"/>
    <w:rsid w:val="00F93612"/>
    <w:rsid w:val="00F95275"/>
    <w:rsid w:val="00F95911"/>
    <w:rsid w:val="00F96D7A"/>
    <w:rsid w:val="00F96DCE"/>
    <w:rsid w:val="00F97786"/>
    <w:rsid w:val="00FA0001"/>
    <w:rsid w:val="00FA0E31"/>
    <w:rsid w:val="00FA170D"/>
    <w:rsid w:val="00FA1F72"/>
    <w:rsid w:val="00FA3211"/>
    <w:rsid w:val="00FA6C67"/>
    <w:rsid w:val="00FA6DA7"/>
    <w:rsid w:val="00FA70C8"/>
    <w:rsid w:val="00FA7752"/>
    <w:rsid w:val="00FB0297"/>
    <w:rsid w:val="00FB02B5"/>
    <w:rsid w:val="00FB0361"/>
    <w:rsid w:val="00FB180D"/>
    <w:rsid w:val="00FB1C90"/>
    <w:rsid w:val="00FB323A"/>
    <w:rsid w:val="00FB4F01"/>
    <w:rsid w:val="00FB509D"/>
    <w:rsid w:val="00FB56F4"/>
    <w:rsid w:val="00FB5B8F"/>
    <w:rsid w:val="00FB5F35"/>
    <w:rsid w:val="00FB6044"/>
    <w:rsid w:val="00FB609D"/>
    <w:rsid w:val="00FB74C4"/>
    <w:rsid w:val="00FC093B"/>
    <w:rsid w:val="00FC2705"/>
    <w:rsid w:val="00FC2B3E"/>
    <w:rsid w:val="00FC4186"/>
    <w:rsid w:val="00FC42F0"/>
    <w:rsid w:val="00FC5028"/>
    <w:rsid w:val="00FC5388"/>
    <w:rsid w:val="00FC61F1"/>
    <w:rsid w:val="00FC72CB"/>
    <w:rsid w:val="00FC7E92"/>
    <w:rsid w:val="00FD03C3"/>
    <w:rsid w:val="00FD0A1C"/>
    <w:rsid w:val="00FD215A"/>
    <w:rsid w:val="00FD2B7E"/>
    <w:rsid w:val="00FD2F54"/>
    <w:rsid w:val="00FD3CDB"/>
    <w:rsid w:val="00FD5996"/>
    <w:rsid w:val="00FD6644"/>
    <w:rsid w:val="00FD67FA"/>
    <w:rsid w:val="00FD6CCC"/>
    <w:rsid w:val="00FE055B"/>
    <w:rsid w:val="00FE1B86"/>
    <w:rsid w:val="00FE252B"/>
    <w:rsid w:val="00FE492A"/>
    <w:rsid w:val="00FE4CBA"/>
    <w:rsid w:val="00FE501C"/>
    <w:rsid w:val="00FE7D17"/>
    <w:rsid w:val="00FF1368"/>
    <w:rsid w:val="00FF1D0C"/>
    <w:rsid w:val="00FF53B8"/>
    <w:rsid w:val="00FF61A7"/>
    <w:rsid w:val="00FF6E9A"/>
    <w:rsid w:val="00FF7C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160A"/>
    <w:pPr>
      <w:spacing w:before="120" w:after="120" w:line="288" w:lineRule="auto"/>
      <w:jc w:val="both"/>
    </w:pPr>
  </w:style>
  <w:style w:type="paragraph" w:styleId="Heading1">
    <w:name w:val="heading 1"/>
    <w:basedOn w:val="Normal"/>
    <w:next w:val="Normal"/>
    <w:link w:val="Heading1Char"/>
    <w:uiPriority w:val="9"/>
    <w:qFormat/>
    <w:rsid w:val="00B639B1"/>
    <w:pPr>
      <w:keepNext/>
      <w:keepLines/>
      <w:numPr>
        <w:numId w:val="1"/>
      </w:numPr>
      <w:spacing w:line="240" w:lineRule="auto"/>
      <w:outlineLvl w:val="0"/>
    </w:pPr>
    <w:rPr>
      <w:rFonts w:asciiTheme="majorHAnsi" w:eastAsiaTheme="majorEastAsia" w:hAnsiTheme="majorHAnsi" w:cstheme="majorBidi"/>
      <w:b/>
      <w:caps/>
      <w:color w:val="EF7F31"/>
      <w:sz w:val="56"/>
      <w:szCs w:val="32"/>
    </w:rPr>
  </w:style>
  <w:style w:type="paragraph" w:styleId="Heading2">
    <w:name w:val="heading 2"/>
    <w:basedOn w:val="Normal"/>
    <w:next w:val="Normal"/>
    <w:link w:val="Heading2Char"/>
    <w:uiPriority w:val="9"/>
    <w:unhideWhenUsed/>
    <w:qFormat/>
    <w:rsid w:val="00B639B1"/>
    <w:pPr>
      <w:keepNext/>
      <w:keepLines/>
      <w:numPr>
        <w:ilvl w:val="1"/>
        <w:numId w:val="1"/>
      </w:numPr>
      <w:spacing w:before="240" w:after="240"/>
      <w:outlineLvl w:val="1"/>
    </w:pPr>
    <w:rPr>
      <w:rFonts w:asciiTheme="majorHAnsi" w:eastAsiaTheme="majorEastAsia" w:hAnsiTheme="majorHAnsi" w:cstheme="majorBidi"/>
      <w:smallCaps/>
      <w:color w:val="1F5E7D"/>
      <w:sz w:val="48"/>
      <w:szCs w:val="26"/>
    </w:rPr>
  </w:style>
  <w:style w:type="paragraph" w:styleId="Heading3">
    <w:name w:val="heading 3"/>
    <w:basedOn w:val="Normal"/>
    <w:next w:val="Normal"/>
    <w:link w:val="Heading3Char"/>
    <w:uiPriority w:val="9"/>
    <w:unhideWhenUsed/>
    <w:qFormat/>
    <w:rsid w:val="00261B31"/>
    <w:pPr>
      <w:keepNext/>
      <w:keepLines/>
      <w:numPr>
        <w:ilvl w:val="2"/>
        <w:numId w:val="1"/>
      </w:numPr>
      <w:outlineLvl w:val="2"/>
    </w:pPr>
    <w:rPr>
      <w:rFonts w:asciiTheme="majorHAnsi" w:eastAsiaTheme="majorEastAsia" w:hAnsiTheme="majorHAnsi" w:cstheme="majorBidi"/>
      <w:color w:val="1F4D78" w:themeColor="accent1" w:themeShade="7F"/>
      <w:sz w:val="36"/>
    </w:rPr>
  </w:style>
  <w:style w:type="paragraph" w:styleId="Heading4">
    <w:name w:val="heading 4"/>
    <w:basedOn w:val="Normal"/>
    <w:next w:val="Normal"/>
    <w:link w:val="Heading4Char"/>
    <w:uiPriority w:val="9"/>
    <w:unhideWhenUsed/>
    <w:qFormat/>
    <w:rsid w:val="00B639B1"/>
    <w:pPr>
      <w:keepNext/>
      <w:keepLines/>
      <w:numPr>
        <w:ilvl w:val="3"/>
        <w:numId w:val="1"/>
      </w:numPr>
      <w:outlineLvl w:val="3"/>
    </w:pPr>
    <w:rPr>
      <w:rFonts w:asciiTheme="majorHAnsi" w:eastAsiaTheme="majorEastAsia" w:hAnsiTheme="majorHAnsi" w:cstheme="majorBidi"/>
      <w:i/>
      <w:iCs/>
      <w:color w:val="2E74B5" w:themeColor="accent1" w:themeShade="BF"/>
      <w:sz w:val="28"/>
    </w:rPr>
  </w:style>
  <w:style w:type="paragraph" w:styleId="Heading5">
    <w:name w:val="heading 5"/>
    <w:basedOn w:val="Normal"/>
    <w:next w:val="Normal"/>
    <w:link w:val="Heading5Char"/>
    <w:uiPriority w:val="9"/>
    <w:unhideWhenUsed/>
    <w:qFormat/>
    <w:rsid w:val="0034573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573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573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573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573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4B48"/>
  </w:style>
  <w:style w:type="paragraph" w:styleId="Footer">
    <w:name w:val="footer"/>
    <w:basedOn w:val="Normal"/>
    <w:link w:val="FooterChar"/>
    <w:uiPriority w:val="99"/>
    <w:unhideWhenUsed/>
    <w:rsid w:val="00884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B48"/>
  </w:style>
  <w:style w:type="table" w:styleId="TableGrid">
    <w:name w:val="Table Grid"/>
    <w:basedOn w:val="TableNormal"/>
    <w:uiPriority w:val="59"/>
    <w:rsid w:val="0088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39B1"/>
    <w:rPr>
      <w:rFonts w:asciiTheme="majorHAnsi" w:eastAsiaTheme="majorEastAsia" w:hAnsiTheme="majorHAnsi" w:cstheme="majorBidi"/>
      <w:b/>
      <w:caps/>
      <w:color w:val="EF7F31"/>
      <w:sz w:val="56"/>
      <w:szCs w:val="32"/>
    </w:rPr>
  </w:style>
  <w:style w:type="character" w:customStyle="1" w:styleId="Heading2Char">
    <w:name w:val="Heading 2 Char"/>
    <w:basedOn w:val="DefaultParagraphFont"/>
    <w:link w:val="Heading2"/>
    <w:uiPriority w:val="9"/>
    <w:rsid w:val="00B639B1"/>
    <w:rPr>
      <w:rFonts w:asciiTheme="majorHAnsi" w:eastAsiaTheme="majorEastAsia" w:hAnsiTheme="majorHAnsi" w:cstheme="majorBidi"/>
      <w:smallCaps/>
      <w:color w:val="1F5E7D"/>
      <w:sz w:val="48"/>
      <w:szCs w:val="26"/>
    </w:rPr>
  </w:style>
  <w:style w:type="character" w:customStyle="1" w:styleId="Heading3Char">
    <w:name w:val="Heading 3 Char"/>
    <w:basedOn w:val="DefaultParagraphFont"/>
    <w:link w:val="Heading3"/>
    <w:uiPriority w:val="9"/>
    <w:rsid w:val="00261B31"/>
    <w:rPr>
      <w:rFonts w:asciiTheme="majorHAnsi" w:eastAsiaTheme="majorEastAsia" w:hAnsiTheme="majorHAnsi" w:cstheme="majorBidi"/>
      <w:color w:val="1F4D78" w:themeColor="accent1" w:themeShade="7F"/>
      <w:sz w:val="36"/>
    </w:rPr>
  </w:style>
  <w:style w:type="character" w:customStyle="1" w:styleId="Heading4Char">
    <w:name w:val="Heading 4 Char"/>
    <w:basedOn w:val="DefaultParagraphFont"/>
    <w:link w:val="Heading4"/>
    <w:uiPriority w:val="9"/>
    <w:rsid w:val="00B639B1"/>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34573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573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573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57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573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B32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3A"/>
    <w:rPr>
      <w:rFonts w:ascii="Segoe UI" w:hAnsi="Segoe UI" w:cs="Segoe UI"/>
      <w:sz w:val="18"/>
      <w:szCs w:val="18"/>
    </w:rPr>
  </w:style>
  <w:style w:type="paragraph" w:styleId="TOCHeading">
    <w:name w:val="TOC Heading"/>
    <w:basedOn w:val="Heading1"/>
    <w:next w:val="Normal"/>
    <w:uiPriority w:val="39"/>
    <w:unhideWhenUsed/>
    <w:rsid w:val="00865BFC"/>
    <w:pPr>
      <w:numPr>
        <w:numId w:val="0"/>
      </w:numPr>
      <w:spacing w:line="259" w:lineRule="auto"/>
      <w:outlineLvl w:val="9"/>
    </w:pPr>
    <w:rPr>
      <w:b w:val="0"/>
      <w:color w:val="2E74B5" w:themeColor="accent1" w:themeShade="BF"/>
      <w:sz w:val="32"/>
      <w:lang w:eastAsia="ro-RO"/>
    </w:rPr>
  </w:style>
  <w:style w:type="paragraph" w:styleId="TOC1">
    <w:name w:val="toc 1"/>
    <w:basedOn w:val="Normal"/>
    <w:next w:val="Normal"/>
    <w:autoRedefine/>
    <w:uiPriority w:val="39"/>
    <w:unhideWhenUsed/>
    <w:rsid w:val="009D160A"/>
    <w:pPr>
      <w:tabs>
        <w:tab w:val="left" w:pos="440"/>
        <w:tab w:val="right" w:leader="dot" w:pos="9344"/>
      </w:tabs>
      <w:spacing w:after="100"/>
    </w:pPr>
  </w:style>
  <w:style w:type="paragraph" w:styleId="TOC2">
    <w:name w:val="toc 2"/>
    <w:basedOn w:val="Normal"/>
    <w:next w:val="Normal"/>
    <w:autoRedefine/>
    <w:uiPriority w:val="39"/>
    <w:unhideWhenUsed/>
    <w:rsid w:val="00865BFC"/>
    <w:pPr>
      <w:spacing w:after="100"/>
      <w:ind w:left="240"/>
    </w:pPr>
  </w:style>
  <w:style w:type="character" w:styleId="Hyperlink">
    <w:name w:val="Hyperlink"/>
    <w:basedOn w:val="DefaultParagraphFont"/>
    <w:uiPriority w:val="99"/>
    <w:unhideWhenUsed/>
    <w:rsid w:val="00865BFC"/>
    <w:rPr>
      <w:color w:val="0563C1" w:themeColor="hyperlink"/>
      <w:u w:val="single"/>
    </w:rPr>
  </w:style>
  <w:style w:type="paragraph" w:styleId="NoSpacing">
    <w:name w:val="No Spacing"/>
    <w:uiPriority w:val="99"/>
    <w:qFormat/>
    <w:rsid w:val="009D160A"/>
    <w:pPr>
      <w:spacing w:after="0" w:line="240" w:lineRule="auto"/>
      <w:jc w:val="both"/>
    </w:pPr>
    <w:rPr>
      <w:rFonts w:eastAsia="Times New Roman" w:cs="Times New Roman"/>
      <w:lang w:val="en-US"/>
    </w:rPr>
  </w:style>
  <w:style w:type="paragraph" w:styleId="TOC3">
    <w:name w:val="toc 3"/>
    <w:basedOn w:val="Normal"/>
    <w:next w:val="Normal"/>
    <w:autoRedefine/>
    <w:uiPriority w:val="39"/>
    <w:unhideWhenUsed/>
    <w:rsid w:val="00B639B1"/>
    <w:pPr>
      <w:spacing w:after="100"/>
      <w:ind w:left="480"/>
    </w:pPr>
  </w:style>
  <w:style w:type="paragraph" w:styleId="Caption">
    <w:name w:val="caption"/>
    <w:basedOn w:val="Normal"/>
    <w:next w:val="Normal"/>
    <w:uiPriority w:val="35"/>
    <w:unhideWhenUsed/>
    <w:qFormat/>
    <w:rsid w:val="00BD4CCD"/>
    <w:pPr>
      <w:spacing w:before="0" w:after="0"/>
    </w:pPr>
    <w:rPr>
      <w:b/>
      <w:bCs/>
      <w:color w:val="1F5E7D"/>
      <w:sz w:val="22"/>
      <w:szCs w:val="18"/>
    </w:rPr>
  </w:style>
  <w:style w:type="paragraph" w:styleId="TableofFigures">
    <w:name w:val="table of figures"/>
    <w:basedOn w:val="Normal"/>
    <w:next w:val="Normal"/>
    <w:uiPriority w:val="99"/>
    <w:unhideWhenUsed/>
    <w:rsid w:val="008A7C6C"/>
    <w:pPr>
      <w:spacing w:after="0"/>
    </w:pPr>
  </w:style>
  <w:style w:type="paragraph" w:styleId="ListParagraph">
    <w:name w:val="List Paragraph"/>
    <w:basedOn w:val="Normal"/>
    <w:uiPriority w:val="34"/>
    <w:qFormat/>
    <w:rsid w:val="00532579"/>
    <w:pPr>
      <w:ind w:left="720"/>
      <w:contextualSpacing/>
    </w:pPr>
  </w:style>
  <w:style w:type="character" w:styleId="PlaceholderText">
    <w:name w:val="Placeholder Text"/>
    <w:basedOn w:val="DefaultParagraphFont"/>
    <w:uiPriority w:val="99"/>
    <w:semiHidden/>
    <w:rsid w:val="009D35B7"/>
    <w:rPr>
      <w:color w:val="808080"/>
    </w:rPr>
  </w:style>
  <w:style w:type="paragraph" w:styleId="FootnoteText">
    <w:name w:val="footnote text"/>
    <w:basedOn w:val="Normal"/>
    <w:link w:val="FootnoteTextChar"/>
    <w:uiPriority w:val="99"/>
    <w:semiHidden/>
    <w:unhideWhenUsed/>
    <w:rsid w:val="00583B5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83B57"/>
    <w:rPr>
      <w:sz w:val="20"/>
      <w:szCs w:val="20"/>
    </w:rPr>
  </w:style>
  <w:style w:type="character" w:styleId="FootnoteReference">
    <w:name w:val="footnote reference"/>
    <w:basedOn w:val="DefaultParagraphFont"/>
    <w:uiPriority w:val="99"/>
    <w:semiHidden/>
    <w:unhideWhenUsed/>
    <w:rsid w:val="00583B57"/>
    <w:rPr>
      <w:vertAlign w:val="superscript"/>
    </w:rPr>
  </w:style>
  <w:style w:type="paragraph" w:styleId="EndnoteText">
    <w:name w:val="endnote text"/>
    <w:basedOn w:val="Normal"/>
    <w:link w:val="EndnoteTextChar"/>
    <w:uiPriority w:val="99"/>
    <w:semiHidden/>
    <w:unhideWhenUsed/>
    <w:rsid w:val="00DE1C7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E1C7F"/>
    <w:rPr>
      <w:sz w:val="20"/>
      <w:szCs w:val="20"/>
    </w:rPr>
  </w:style>
  <w:style w:type="character" w:styleId="EndnoteReference">
    <w:name w:val="endnote reference"/>
    <w:basedOn w:val="DefaultParagraphFont"/>
    <w:uiPriority w:val="99"/>
    <w:semiHidden/>
    <w:unhideWhenUsed/>
    <w:rsid w:val="00DE1C7F"/>
    <w:rPr>
      <w:vertAlign w:val="superscript"/>
    </w:rPr>
  </w:style>
  <w:style w:type="paragraph" w:styleId="NormalWeb">
    <w:name w:val="Normal (Web)"/>
    <w:basedOn w:val="Normal"/>
    <w:uiPriority w:val="99"/>
    <w:semiHidden/>
    <w:unhideWhenUsed/>
    <w:rsid w:val="00211BAB"/>
    <w:pPr>
      <w:spacing w:before="100" w:beforeAutospacing="1" w:after="100" w:afterAutospacing="1" w:line="240" w:lineRule="auto"/>
      <w:jc w:val="left"/>
    </w:pPr>
    <w:rPr>
      <w:rFonts w:ascii="Times New Roman" w:eastAsia="Times New Roman" w:hAnsi="Times New Roman" w:cs="Times New Roman"/>
      <w:lang w:eastAsia="ro-RO"/>
    </w:rPr>
  </w:style>
  <w:style w:type="character" w:customStyle="1" w:styleId="apple-converted-space">
    <w:name w:val="apple-converted-space"/>
    <w:basedOn w:val="DefaultParagraphFont"/>
    <w:rsid w:val="00211BAB"/>
  </w:style>
  <w:style w:type="character" w:styleId="Strong">
    <w:name w:val="Strong"/>
    <w:uiPriority w:val="22"/>
    <w:qFormat/>
    <w:rsid w:val="00EE4D9A"/>
    <w:rPr>
      <w:b/>
      <w:bCs/>
    </w:rPr>
  </w:style>
  <w:style w:type="paragraph" w:customStyle="1" w:styleId="Default">
    <w:name w:val="Default"/>
    <w:rsid w:val="00EE4D9A"/>
    <w:pPr>
      <w:autoSpaceDE w:val="0"/>
      <w:autoSpaceDN w:val="0"/>
      <w:adjustRightInd w:val="0"/>
      <w:spacing w:after="0" w:line="240" w:lineRule="auto"/>
    </w:pPr>
    <w:rPr>
      <w:rFonts w:ascii="Times New Roman" w:eastAsia="Times New Roman" w:hAnsi="Times New Roman" w:cs="Times New Roman"/>
      <w:color w:val="000000"/>
      <w:lang w:val="en-US"/>
    </w:rPr>
  </w:style>
  <w:style w:type="character" w:styleId="FollowedHyperlink">
    <w:name w:val="FollowedHyperlink"/>
    <w:basedOn w:val="DefaultParagraphFont"/>
    <w:uiPriority w:val="99"/>
    <w:semiHidden/>
    <w:unhideWhenUsed/>
    <w:rsid w:val="00746EF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160A"/>
    <w:pPr>
      <w:spacing w:before="120" w:after="120" w:line="288" w:lineRule="auto"/>
      <w:jc w:val="both"/>
    </w:pPr>
  </w:style>
  <w:style w:type="paragraph" w:styleId="Heading1">
    <w:name w:val="heading 1"/>
    <w:basedOn w:val="Normal"/>
    <w:next w:val="Normal"/>
    <w:link w:val="Heading1Char"/>
    <w:uiPriority w:val="9"/>
    <w:qFormat/>
    <w:rsid w:val="00B639B1"/>
    <w:pPr>
      <w:keepNext/>
      <w:keepLines/>
      <w:numPr>
        <w:numId w:val="1"/>
      </w:numPr>
      <w:spacing w:line="240" w:lineRule="auto"/>
      <w:outlineLvl w:val="0"/>
    </w:pPr>
    <w:rPr>
      <w:rFonts w:asciiTheme="majorHAnsi" w:eastAsiaTheme="majorEastAsia" w:hAnsiTheme="majorHAnsi" w:cstheme="majorBidi"/>
      <w:b/>
      <w:caps/>
      <w:color w:val="EF7F31"/>
      <w:sz w:val="56"/>
      <w:szCs w:val="32"/>
    </w:rPr>
  </w:style>
  <w:style w:type="paragraph" w:styleId="Heading2">
    <w:name w:val="heading 2"/>
    <w:basedOn w:val="Normal"/>
    <w:next w:val="Normal"/>
    <w:link w:val="Heading2Char"/>
    <w:uiPriority w:val="9"/>
    <w:unhideWhenUsed/>
    <w:qFormat/>
    <w:rsid w:val="00B639B1"/>
    <w:pPr>
      <w:keepNext/>
      <w:keepLines/>
      <w:numPr>
        <w:ilvl w:val="1"/>
        <w:numId w:val="1"/>
      </w:numPr>
      <w:spacing w:before="240" w:after="240"/>
      <w:outlineLvl w:val="1"/>
    </w:pPr>
    <w:rPr>
      <w:rFonts w:asciiTheme="majorHAnsi" w:eastAsiaTheme="majorEastAsia" w:hAnsiTheme="majorHAnsi" w:cstheme="majorBidi"/>
      <w:smallCaps/>
      <w:color w:val="1F5E7D"/>
      <w:sz w:val="48"/>
      <w:szCs w:val="26"/>
    </w:rPr>
  </w:style>
  <w:style w:type="paragraph" w:styleId="Heading3">
    <w:name w:val="heading 3"/>
    <w:basedOn w:val="Normal"/>
    <w:next w:val="Normal"/>
    <w:link w:val="Heading3Char"/>
    <w:uiPriority w:val="9"/>
    <w:unhideWhenUsed/>
    <w:qFormat/>
    <w:rsid w:val="00261B31"/>
    <w:pPr>
      <w:keepNext/>
      <w:keepLines/>
      <w:numPr>
        <w:ilvl w:val="2"/>
        <w:numId w:val="1"/>
      </w:numPr>
      <w:outlineLvl w:val="2"/>
    </w:pPr>
    <w:rPr>
      <w:rFonts w:asciiTheme="majorHAnsi" w:eastAsiaTheme="majorEastAsia" w:hAnsiTheme="majorHAnsi" w:cstheme="majorBidi"/>
      <w:color w:val="1F4D78" w:themeColor="accent1" w:themeShade="7F"/>
      <w:sz w:val="36"/>
    </w:rPr>
  </w:style>
  <w:style w:type="paragraph" w:styleId="Heading4">
    <w:name w:val="heading 4"/>
    <w:basedOn w:val="Normal"/>
    <w:next w:val="Normal"/>
    <w:link w:val="Heading4Char"/>
    <w:uiPriority w:val="9"/>
    <w:unhideWhenUsed/>
    <w:qFormat/>
    <w:rsid w:val="00B639B1"/>
    <w:pPr>
      <w:keepNext/>
      <w:keepLines/>
      <w:numPr>
        <w:ilvl w:val="3"/>
        <w:numId w:val="1"/>
      </w:numPr>
      <w:outlineLvl w:val="3"/>
    </w:pPr>
    <w:rPr>
      <w:rFonts w:asciiTheme="majorHAnsi" w:eastAsiaTheme="majorEastAsia" w:hAnsiTheme="majorHAnsi" w:cstheme="majorBidi"/>
      <w:i/>
      <w:iCs/>
      <w:color w:val="2E74B5" w:themeColor="accent1" w:themeShade="BF"/>
      <w:sz w:val="28"/>
    </w:rPr>
  </w:style>
  <w:style w:type="paragraph" w:styleId="Heading5">
    <w:name w:val="heading 5"/>
    <w:basedOn w:val="Normal"/>
    <w:next w:val="Normal"/>
    <w:link w:val="Heading5Char"/>
    <w:uiPriority w:val="9"/>
    <w:unhideWhenUsed/>
    <w:qFormat/>
    <w:rsid w:val="0034573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573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573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573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573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4B48"/>
  </w:style>
  <w:style w:type="paragraph" w:styleId="Footer">
    <w:name w:val="footer"/>
    <w:basedOn w:val="Normal"/>
    <w:link w:val="FooterChar"/>
    <w:uiPriority w:val="99"/>
    <w:unhideWhenUsed/>
    <w:rsid w:val="00884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B48"/>
  </w:style>
  <w:style w:type="table" w:styleId="TableGrid">
    <w:name w:val="Table Grid"/>
    <w:basedOn w:val="TableNormal"/>
    <w:uiPriority w:val="59"/>
    <w:rsid w:val="0088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39B1"/>
    <w:rPr>
      <w:rFonts w:asciiTheme="majorHAnsi" w:eastAsiaTheme="majorEastAsia" w:hAnsiTheme="majorHAnsi" w:cstheme="majorBidi"/>
      <w:b/>
      <w:caps/>
      <w:color w:val="EF7F31"/>
      <w:sz w:val="56"/>
      <w:szCs w:val="32"/>
    </w:rPr>
  </w:style>
  <w:style w:type="character" w:customStyle="1" w:styleId="Heading2Char">
    <w:name w:val="Heading 2 Char"/>
    <w:basedOn w:val="DefaultParagraphFont"/>
    <w:link w:val="Heading2"/>
    <w:uiPriority w:val="9"/>
    <w:rsid w:val="00B639B1"/>
    <w:rPr>
      <w:rFonts w:asciiTheme="majorHAnsi" w:eastAsiaTheme="majorEastAsia" w:hAnsiTheme="majorHAnsi" w:cstheme="majorBidi"/>
      <w:smallCaps/>
      <w:color w:val="1F5E7D"/>
      <w:sz w:val="48"/>
      <w:szCs w:val="26"/>
    </w:rPr>
  </w:style>
  <w:style w:type="character" w:customStyle="1" w:styleId="Heading3Char">
    <w:name w:val="Heading 3 Char"/>
    <w:basedOn w:val="DefaultParagraphFont"/>
    <w:link w:val="Heading3"/>
    <w:uiPriority w:val="9"/>
    <w:rsid w:val="00261B31"/>
    <w:rPr>
      <w:rFonts w:asciiTheme="majorHAnsi" w:eastAsiaTheme="majorEastAsia" w:hAnsiTheme="majorHAnsi" w:cstheme="majorBidi"/>
      <w:color w:val="1F4D78" w:themeColor="accent1" w:themeShade="7F"/>
      <w:sz w:val="36"/>
    </w:rPr>
  </w:style>
  <w:style w:type="character" w:customStyle="1" w:styleId="Heading4Char">
    <w:name w:val="Heading 4 Char"/>
    <w:basedOn w:val="DefaultParagraphFont"/>
    <w:link w:val="Heading4"/>
    <w:uiPriority w:val="9"/>
    <w:rsid w:val="00B639B1"/>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34573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573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573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57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573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B32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3A"/>
    <w:rPr>
      <w:rFonts w:ascii="Segoe UI" w:hAnsi="Segoe UI" w:cs="Segoe UI"/>
      <w:sz w:val="18"/>
      <w:szCs w:val="18"/>
    </w:rPr>
  </w:style>
  <w:style w:type="paragraph" w:styleId="TOCHeading">
    <w:name w:val="TOC Heading"/>
    <w:basedOn w:val="Heading1"/>
    <w:next w:val="Normal"/>
    <w:uiPriority w:val="39"/>
    <w:unhideWhenUsed/>
    <w:rsid w:val="00865BFC"/>
    <w:pPr>
      <w:numPr>
        <w:numId w:val="0"/>
      </w:numPr>
      <w:spacing w:line="259" w:lineRule="auto"/>
      <w:outlineLvl w:val="9"/>
    </w:pPr>
    <w:rPr>
      <w:b w:val="0"/>
      <w:color w:val="2E74B5" w:themeColor="accent1" w:themeShade="BF"/>
      <w:sz w:val="32"/>
      <w:lang w:eastAsia="ro-RO"/>
    </w:rPr>
  </w:style>
  <w:style w:type="paragraph" w:styleId="TOC1">
    <w:name w:val="toc 1"/>
    <w:basedOn w:val="Normal"/>
    <w:next w:val="Normal"/>
    <w:autoRedefine/>
    <w:uiPriority w:val="39"/>
    <w:unhideWhenUsed/>
    <w:rsid w:val="009D160A"/>
    <w:pPr>
      <w:tabs>
        <w:tab w:val="left" w:pos="440"/>
        <w:tab w:val="right" w:leader="dot" w:pos="9344"/>
      </w:tabs>
      <w:spacing w:after="100"/>
    </w:pPr>
  </w:style>
  <w:style w:type="paragraph" w:styleId="TOC2">
    <w:name w:val="toc 2"/>
    <w:basedOn w:val="Normal"/>
    <w:next w:val="Normal"/>
    <w:autoRedefine/>
    <w:uiPriority w:val="39"/>
    <w:unhideWhenUsed/>
    <w:rsid w:val="00865BFC"/>
    <w:pPr>
      <w:spacing w:after="100"/>
      <w:ind w:left="240"/>
    </w:pPr>
  </w:style>
  <w:style w:type="character" w:styleId="Hyperlink">
    <w:name w:val="Hyperlink"/>
    <w:basedOn w:val="DefaultParagraphFont"/>
    <w:uiPriority w:val="99"/>
    <w:unhideWhenUsed/>
    <w:rsid w:val="00865BFC"/>
    <w:rPr>
      <w:color w:val="0563C1" w:themeColor="hyperlink"/>
      <w:u w:val="single"/>
    </w:rPr>
  </w:style>
  <w:style w:type="paragraph" w:styleId="NoSpacing">
    <w:name w:val="No Spacing"/>
    <w:uiPriority w:val="99"/>
    <w:qFormat/>
    <w:rsid w:val="009D160A"/>
    <w:pPr>
      <w:spacing w:after="0" w:line="240" w:lineRule="auto"/>
      <w:jc w:val="both"/>
    </w:pPr>
    <w:rPr>
      <w:rFonts w:eastAsia="Times New Roman" w:cs="Times New Roman"/>
      <w:lang w:val="en-US"/>
    </w:rPr>
  </w:style>
  <w:style w:type="paragraph" w:styleId="TOC3">
    <w:name w:val="toc 3"/>
    <w:basedOn w:val="Normal"/>
    <w:next w:val="Normal"/>
    <w:autoRedefine/>
    <w:uiPriority w:val="39"/>
    <w:unhideWhenUsed/>
    <w:rsid w:val="00B639B1"/>
    <w:pPr>
      <w:spacing w:after="100"/>
      <w:ind w:left="480"/>
    </w:pPr>
  </w:style>
  <w:style w:type="paragraph" w:styleId="Caption">
    <w:name w:val="caption"/>
    <w:basedOn w:val="Normal"/>
    <w:next w:val="Normal"/>
    <w:uiPriority w:val="35"/>
    <w:unhideWhenUsed/>
    <w:qFormat/>
    <w:rsid w:val="00BD4CCD"/>
    <w:pPr>
      <w:spacing w:before="0" w:after="0"/>
    </w:pPr>
    <w:rPr>
      <w:b/>
      <w:bCs/>
      <w:color w:val="1F5E7D"/>
      <w:sz w:val="22"/>
      <w:szCs w:val="18"/>
    </w:rPr>
  </w:style>
  <w:style w:type="paragraph" w:styleId="TableofFigures">
    <w:name w:val="table of figures"/>
    <w:basedOn w:val="Normal"/>
    <w:next w:val="Normal"/>
    <w:uiPriority w:val="99"/>
    <w:unhideWhenUsed/>
    <w:rsid w:val="008A7C6C"/>
    <w:pPr>
      <w:spacing w:after="0"/>
    </w:pPr>
  </w:style>
  <w:style w:type="paragraph" w:styleId="ListParagraph">
    <w:name w:val="List Paragraph"/>
    <w:basedOn w:val="Normal"/>
    <w:uiPriority w:val="34"/>
    <w:qFormat/>
    <w:rsid w:val="00532579"/>
    <w:pPr>
      <w:ind w:left="720"/>
      <w:contextualSpacing/>
    </w:pPr>
  </w:style>
  <w:style w:type="character" w:styleId="PlaceholderText">
    <w:name w:val="Placeholder Text"/>
    <w:basedOn w:val="DefaultParagraphFont"/>
    <w:uiPriority w:val="99"/>
    <w:semiHidden/>
    <w:rsid w:val="009D35B7"/>
    <w:rPr>
      <w:color w:val="808080"/>
    </w:rPr>
  </w:style>
  <w:style w:type="paragraph" w:styleId="FootnoteText">
    <w:name w:val="footnote text"/>
    <w:basedOn w:val="Normal"/>
    <w:link w:val="FootnoteTextChar"/>
    <w:uiPriority w:val="99"/>
    <w:semiHidden/>
    <w:unhideWhenUsed/>
    <w:rsid w:val="00583B5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83B57"/>
    <w:rPr>
      <w:sz w:val="20"/>
      <w:szCs w:val="20"/>
    </w:rPr>
  </w:style>
  <w:style w:type="character" w:styleId="FootnoteReference">
    <w:name w:val="footnote reference"/>
    <w:basedOn w:val="DefaultParagraphFont"/>
    <w:uiPriority w:val="99"/>
    <w:semiHidden/>
    <w:unhideWhenUsed/>
    <w:rsid w:val="00583B57"/>
    <w:rPr>
      <w:vertAlign w:val="superscript"/>
    </w:rPr>
  </w:style>
  <w:style w:type="paragraph" w:styleId="EndnoteText">
    <w:name w:val="endnote text"/>
    <w:basedOn w:val="Normal"/>
    <w:link w:val="EndnoteTextChar"/>
    <w:uiPriority w:val="99"/>
    <w:semiHidden/>
    <w:unhideWhenUsed/>
    <w:rsid w:val="00DE1C7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E1C7F"/>
    <w:rPr>
      <w:sz w:val="20"/>
      <w:szCs w:val="20"/>
    </w:rPr>
  </w:style>
  <w:style w:type="character" w:styleId="EndnoteReference">
    <w:name w:val="endnote reference"/>
    <w:basedOn w:val="DefaultParagraphFont"/>
    <w:uiPriority w:val="99"/>
    <w:semiHidden/>
    <w:unhideWhenUsed/>
    <w:rsid w:val="00DE1C7F"/>
    <w:rPr>
      <w:vertAlign w:val="superscript"/>
    </w:rPr>
  </w:style>
  <w:style w:type="paragraph" w:styleId="NormalWeb">
    <w:name w:val="Normal (Web)"/>
    <w:basedOn w:val="Normal"/>
    <w:uiPriority w:val="99"/>
    <w:semiHidden/>
    <w:unhideWhenUsed/>
    <w:rsid w:val="00211BAB"/>
    <w:pPr>
      <w:spacing w:before="100" w:beforeAutospacing="1" w:after="100" w:afterAutospacing="1" w:line="240" w:lineRule="auto"/>
      <w:jc w:val="left"/>
    </w:pPr>
    <w:rPr>
      <w:rFonts w:ascii="Times New Roman" w:eastAsia="Times New Roman" w:hAnsi="Times New Roman" w:cs="Times New Roman"/>
      <w:lang w:eastAsia="ro-RO"/>
    </w:rPr>
  </w:style>
  <w:style w:type="character" w:customStyle="1" w:styleId="apple-converted-space">
    <w:name w:val="apple-converted-space"/>
    <w:basedOn w:val="DefaultParagraphFont"/>
    <w:rsid w:val="00211BAB"/>
  </w:style>
  <w:style w:type="character" w:styleId="Strong">
    <w:name w:val="Strong"/>
    <w:uiPriority w:val="22"/>
    <w:qFormat/>
    <w:rsid w:val="00EE4D9A"/>
    <w:rPr>
      <w:b/>
      <w:bCs/>
    </w:rPr>
  </w:style>
  <w:style w:type="paragraph" w:customStyle="1" w:styleId="Default">
    <w:name w:val="Default"/>
    <w:rsid w:val="00EE4D9A"/>
    <w:pPr>
      <w:autoSpaceDE w:val="0"/>
      <w:autoSpaceDN w:val="0"/>
      <w:adjustRightInd w:val="0"/>
      <w:spacing w:after="0" w:line="240" w:lineRule="auto"/>
    </w:pPr>
    <w:rPr>
      <w:rFonts w:ascii="Times New Roman" w:eastAsia="Times New Roman" w:hAnsi="Times New Roman" w:cs="Times New Roman"/>
      <w:color w:val="000000"/>
      <w:lang w:val="en-US"/>
    </w:rPr>
  </w:style>
  <w:style w:type="character" w:styleId="FollowedHyperlink">
    <w:name w:val="FollowedHyperlink"/>
    <w:basedOn w:val="DefaultParagraphFont"/>
    <w:uiPriority w:val="99"/>
    <w:semiHidden/>
    <w:unhideWhenUsed/>
    <w:rsid w:val="00746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926">
      <w:bodyDiv w:val="1"/>
      <w:marLeft w:val="0"/>
      <w:marRight w:val="0"/>
      <w:marTop w:val="0"/>
      <w:marBottom w:val="0"/>
      <w:divBdr>
        <w:top w:val="none" w:sz="0" w:space="0" w:color="auto"/>
        <w:left w:val="none" w:sz="0" w:space="0" w:color="auto"/>
        <w:bottom w:val="none" w:sz="0" w:space="0" w:color="auto"/>
        <w:right w:val="none" w:sz="0" w:space="0" w:color="auto"/>
      </w:divBdr>
    </w:div>
    <w:div w:id="45685749">
      <w:bodyDiv w:val="1"/>
      <w:marLeft w:val="0"/>
      <w:marRight w:val="0"/>
      <w:marTop w:val="0"/>
      <w:marBottom w:val="0"/>
      <w:divBdr>
        <w:top w:val="none" w:sz="0" w:space="0" w:color="auto"/>
        <w:left w:val="none" w:sz="0" w:space="0" w:color="auto"/>
        <w:bottom w:val="none" w:sz="0" w:space="0" w:color="auto"/>
        <w:right w:val="none" w:sz="0" w:space="0" w:color="auto"/>
      </w:divBdr>
    </w:div>
    <w:div w:id="113451641">
      <w:bodyDiv w:val="1"/>
      <w:marLeft w:val="0"/>
      <w:marRight w:val="0"/>
      <w:marTop w:val="0"/>
      <w:marBottom w:val="0"/>
      <w:divBdr>
        <w:top w:val="none" w:sz="0" w:space="0" w:color="auto"/>
        <w:left w:val="none" w:sz="0" w:space="0" w:color="auto"/>
        <w:bottom w:val="none" w:sz="0" w:space="0" w:color="auto"/>
        <w:right w:val="none" w:sz="0" w:space="0" w:color="auto"/>
      </w:divBdr>
    </w:div>
    <w:div w:id="171337465">
      <w:bodyDiv w:val="1"/>
      <w:marLeft w:val="0"/>
      <w:marRight w:val="0"/>
      <w:marTop w:val="0"/>
      <w:marBottom w:val="0"/>
      <w:divBdr>
        <w:top w:val="none" w:sz="0" w:space="0" w:color="auto"/>
        <w:left w:val="none" w:sz="0" w:space="0" w:color="auto"/>
        <w:bottom w:val="none" w:sz="0" w:space="0" w:color="auto"/>
        <w:right w:val="none" w:sz="0" w:space="0" w:color="auto"/>
      </w:divBdr>
    </w:div>
    <w:div w:id="217207454">
      <w:bodyDiv w:val="1"/>
      <w:marLeft w:val="0"/>
      <w:marRight w:val="0"/>
      <w:marTop w:val="0"/>
      <w:marBottom w:val="0"/>
      <w:divBdr>
        <w:top w:val="none" w:sz="0" w:space="0" w:color="auto"/>
        <w:left w:val="none" w:sz="0" w:space="0" w:color="auto"/>
        <w:bottom w:val="none" w:sz="0" w:space="0" w:color="auto"/>
        <w:right w:val="none" w:sz="0" w:space="0" w:color="auto"/>
      </w:divBdr>
    </w:div>
    <w:div w:id="224680681">
      <w:bodyDiv w:val="1"/>
      <w:marLeft w:val="0"/>
      <w:marRight w:val="0"/>
      <w:marTop w:val="0"/>
      <w:marBottom w:val="0"/>
      <w:divBdr>
        <w:top w:val="none" w:sz="0" w:space="0" w:color="auto"/>
        <w:left w:val="none" w:sz="0" w:space="0" w:color="auto"/>
        <w:bottom w:val="none" w:sz="0" w:space="0" w:color="auto"/>
        <w:right w:val="none" w:sz="0" w:space="0" w:color="auto"/>
      </w:divBdr>
    </w:div>
    <w:div w:id="258757330">
      <w:bodyDiv w:val="1"/>
      <w:marLeft w:val="0"/>
      <w:marRight w:val="0"/>
      <w:marTop w:val="0"/>
      <w:marBottom w:val="0"/>
      <w:divBdr>
        <w:top w:val="none" w:sz="0" w:space="0" w:color="auto"/>
        <w:left w:val="none" w:sz="0" w:space="0" w:color="auto"/>
        <w:bottom w:val="none" w:sz="0" w:space="0" w:color="auto"/>
        <w:right w:val="none" w:sz="0" w:space="0" w:color="auto"/>
      </w:divBdr>
    </w:div>
    <w:div w:id="259338486">
      <w:bodyDiv w:val="1"/>
      <w:marLeft w:val="0"/>
      <w:marRight w:val="0"/>
      <w:marTop w:val="0"/>
      <w:marBottom w:val="0"/>
      <w:divBdr>
        <w:top w:val="none" w:sz="0" w:space="0" w:color="auto"/>
        <w:left w:val="none" w:sz="0" w:space="0" w:color="auto"/>
        <w:bottom w:val="none" w:sz="0" w:space="0" w:color="auto"/>
        <w:right w:val="none" w:sz="0" w:space="0" w:color="auto"/>
      </w:divBdr>
    </w:div>
    <w:div w:id="268515236">
      <w:bodyDiv w:val="1"/>
      <w:marLeft w:val="0"/>
      <w:marRight w:val="0"/>
      <w:marTop w:val="0"/>
      <w:marBottom w:val="0"/>
      <w:divBdr>
        <w:top w:val="none" w:sz="0" w:space="0" w:color="auto"/>
        <w:left w:val="none" w:sz="0" w:space="0" w:color="auto"/>
        <w:bottom w:val="none" w:sz="0" w:space="0" w:color="auto"/>
        <w:right w:val="none" w:sz="0" w:space="0" w:color="auto"/>
      </w:divBdr>
    </w:div>
    <w:div w:id="339966485">
      <w:bodyDiv w:val="1"/>
      <w:marLeft w:val="0"/>
      <w:marRight w:val="0"/>
      <w:marTop w:val="0"/>
      <w:marBottom w:val="0"/>
      <w:divBdr>
        <w:top w:val="none" w:sz="0" w:space="0" w:color="auto"/>
        <w:left w:val="none" w:sz="0" w:space="0" w:color="auto"/>
        <w:bottom w:val="none" w:sz="0" w:space="0" w:color="auto"/>
        <w:right w:val="none" w:sz="0" w:space="0" w:color="auto"/>
      </w:divBdr>
    </w:div>
    <w:div w:id="373237901">
      <w:bodyDiv w:val="1"/>
      <w:marLeft w:val="0"/>
      <w:marRight w:val="0"/>
      <w:marTop w:val="0"/>
      <w:marBottom w:val="0"/>
      <w:divBdr>
        <w:top w:val="none" w:sz="0" w:space="0" w:color="auto"/>
        <w:left w:val="none" w:sz="0" w:space="0" w:color="auto"/>
        <w:bottom w:val="none" w:sz="0" w:space="0" w:color="auto"/>
        <w:right w:val="none" w:sz="0" w:space="0" w:color="auto"/>
      </w:divBdr>
    </w:div>
    <w:div w:id="392043823">
      <w:bodyDiv w:val="1"/>
      <w:marLeft w:val="0"/>
      <w:marRight w:val="0"/>
      <w:marTop w:val="0"/>
      <w:marBottom w:val="0"/>
      <w:divBdr>
        <w:top w:val="none" w:sz="0" w:space="0" w:color="auto"/>
        <w:left w:val="none" w:sz="0" w:space="0" w:color="auto"/>
        <w:bottom w:val="none" w:sz="0" w:space="0" w:color="auto"/>
        <w:right w:val="none" w:sz="0" w:space="0" w:color="auto"/>
      </w:divBdr>
    </w:div>
    <w:div w:id="404493156">
      <w:bodyDiv w:val="1"/>
      <w:marLeft w:val="0"/>
      <w:marRight w:val="0"/>
      <w:marTop w:val="0"/>
      <w:marBottom w:val="0"/>
      <w:divBdr>
        <w:top w:val="none" w:sz="0" w:space="0" w:color="auto"/>
        <w:left w:val="none" w:sz="0" w:space="0" w:color="auto"/>
        <w:bottom w:val="none" w:sz="0" w:space="0" w:color="auto"/>
        <w:right w:val="none" w:sz="0" w:space="0" w:color="auto"/>
      </w:divBdr>
    </w:div>
    <w:div w:id="426774812">
      <w:bodyDiv w:val="1"/>
      <w:marLeft w:val="0"/>
      <w:marRight w:val="0"/>
      <w:marTop w:val="0"/>
      <w:marBottom w:val="0"/>
      <w:divBdr>
        <w:top w:val="none" w:sz="0" w:space="0" w:color="auto"/>
        <w:left w:val="none" w:sz="0" w:space="0" w:color="auto"/>
        <w:bottom w:val="none" w:sz="0" w:space="0" w:color="auto"/>
        <w:right w:val="none" w:sz="0" w:space="0" w:color="auto"/>
      </w:divBdr>
    </w:div>
    <w:div w:id="482359373">
      <w:bodyDiv w:val="1"/>
      <w:marLeft w:val="0"/>
      <w:marRight w:val="0"/>
      <w:marTop w:val="0"/>
      <w:marBottom w:val="0"/>
      <w:divBdr>
        <w:top w:val="none" w:sz="0" w:space="0" w:color="auto"/>
        <w:left w:val="none" w:sz="0" w:space="0" w:color="auto"/>
        <w:bottom w:val="none" w:sz="0" w:space="0" w:color="auto"/>
        <w:right w:val="none" w:sz="0" w:space="0" w:color="auto"/>
      </w:divBdr>
      <w:divsChild>
        <w:div w:id="604850312">
          <w:marLeft w:val="0"/>
          <w:marRight w:val="0"/>
          <w:marTop w:val="0"/>
          <w:marBottom w:val="0"/>
          <w:divBdr>
            <w:top w:val="none" w:sz="0" w:space="0" w:color="auto"/>
            <w:left w:val="none" w:sz="0" w:space="0" w:color="auto"/>
            <w:bottom w:val="none" w:sz="0" w:space="0" w:color="auto"/>
            <w:right w:val="none" w:sz="0" w:space="0" w:color="auto"/>
          </w:divBdr>
        </w:div>
      </w:divsChild>
    </w:div>
    <w:div w:id="531260227">
      <w:bodyDiv w:val="1"/>
      <w:marLeft w:val="0"/>
      <w:marRight w:val="0"/>
      <w:marTop w:val="0"/>
      <w:marBottom w:val="0"/>
      <w:divBdr>
        <w:top w:val="none" w:sz="0" w:space="0" w:color="auto"/>
        <w:left w:val="none" w:sz="0" w:space="0" w:color="auto"/>
        <w:bottom w:val="none" w:sz="0" w:space="0" w:color="auto"/>
        <w:right w:val="none" w:sz="0" w:space="0" w:color="auto"/>
      </w:divBdr>
    </w:div>
    <w:div w:id="595600731">
      <w:bodyDiv w:val="1"/>
      <w:marLeft w:val="0"/>
      <w:marRight w:val="0"/>
      <w:marTop w:val="0"/>
      <w:marBottom w:val="0"/>
      <w:divBdr>
        <w:top w:val="none" w:sz="0" w:space="0" w:color="auto"/>
        <w:left w:val="none" w:sz="0" w:space="0" w:color="auto"/>
        <w:bottom w:val="none" w:sz="0" w:space="0" w:color="auto"/>
        <w:right w:val="none" w:sz="0" w:space="0" w:color="auto"/>
      </w:divBdr>
    </w:div>
    <w:div w:id="605845651">
      <w:bodyDiv w:val="1"/>
      <w:marLeft w:val="0"/>
      <w:marRight w:val="0"/>
      <w:marTop w:val="0"/>
      <w:marBottom w:val="0"/>
      <w:divBdr>
        <w:top w:val="none" w:sz="0" w:space="0" w:color="auto"/>
        <w:left w:val="none" w:sz="0" w:space="0" w:color="auto"/>
        <w:bottom w:val="none" w:sz="0" w:space="0" w:color="auto"/>
        <w:right w:val="none" w:sz="0" w:space="0" w:color="auto"/>
      </w:divBdr>
    </w:div>
    <w:div w:id="617184270">
      <w:bodyDiv w:val="1"/>
      <w:marLeft w:val="0"/>
      <w:marRight w:val="0"/>
      <w:marTop w:val="0"/>
      <w:marBottom w:val="0"/>
      <w:divBdr>
        <w:top w:val="none" w:sz="0" w:space="0" w:color="auto"/>
        <w:left w:val="none" w:sz="0" w:space="0" w:color="auto"/>
        <w:bottom w:val="none" w:sz="0" w:space="0" w:color="auto"/>
        <w:right w:val="none" w:sz="0" w:space="0" w:color="auto"/>
      </w:divBdr>
    </w:div>
    <w:div w:id="622080790">
      <w:bodyDiv w:val="1"/>
      <w:marLeft w:val="0"/>
      <w:marRight w:val="0"/>
      <w:marTop w:val="0"/>
      <w:marBottom w:val="0"/>
      <w:divBdr>
        <w:top w:val="none" w:sz="0" w:space="0" w:color="auto"/>
        <w:left w:val="none" w:sz="0" w:space="0" w:color="auto"/>
        <w:bottom w:val="none" w:sz="0" w:space="0" w:color="auto"/>
        <w:right w:val="none" w:sz="0" w:space="0" w:color="auto"/>
      </w:divBdr>
    </w:div>
    <w:div w:id="653609086">
      <w:bodyDiv w:val="1"/>
      <w:marLeft w:val="0"/>
      <w:marRight w:val="0"/>
      <w:marTop w:val="0"/>
      <w:marBottom w:val="0"/>
      <w:divBdr>
        <w:top w:val="none" w:sz="0" w:space="0" w:color="auto"/>
        <w:left w:val="none" w:sz="0" w:space="0" w:color="auto"/>
        <w:bottom w:val="none" w:sz="0" w:space="0" w:color="auto"/>
        <w:right w:val="none" w:sz="0" w:space="0" w:color="auto"/>
      </w:divBdr>
    </w:div>
    <w:div w:id="682510154">
      <w:bodyDiv w:val="1"/>
      <w:marLeft w:val="0"/>
      <w:marRight w:val="0"/>
      <w:marTop w:val="0"/>
      <w:marBottom w:val="0"/>
      <w:divBdr>
        <w:top w:val="none" w:sz="0" w:space="0" w:color="auto"/>
        <w:left w:val="none" w:sz="0" w:space="0" w:color="auto"/>
        <w:bottom w:val="none" w:sz="0" w:space="0" w:color="auto"/>
        <w:right w:val="none" w:sz="0" w:space="0" w:color="auto"/>
      </w:divBdr>
    </w:div>
    <w:div w:id="708455597">
      <w:bodyDiv w:val="1"/>
      <w:marLeft w:val="0"/>
      <w:marRight w:val="0"/>
      <w:marTop w:val="0"/>
      <w:marBottom w:val="0"/>
      <w:divBdr>
        <w:top w:val="none" w:sz="0" w:space="0" w:color="auto"/>
        <w:left w:val="none" w:sz="0" w:space="0" w:color="auto"/>
        <w:bottom w:val="none" w:sz="0" w:space="0" w:color="auto"/>
        <w:right w:val="none" w:sz="0" w:space="0" w:color="auto"/>
      </w:divBdr>
    </w:div>
    <w:div w:id="708724927">
      <w:bodyDiv w:val="1"/>
      <w:marLeft w:val="0"/>
      <w:marRight w:val="0"/>
      <w:marTop w:val="0"/>
      <w:marBottom w:val="0"/>
      <w:divBdr>
        <w:top w:val="none" w:sz="0" w:space="0" w:color="auto"/>
        <w:left w:val="none" w:sz="0" w:space="0" w:color="auto"/>
        <w:bottom w:val="none" w:sz="0" w:space="0" w:color="auto"/>
        <w:right w:val="none" w:sz="0" w:space="0" w:color="auto"/>
      </w:divBdr>
    </w:div>
    <w:div w:id="813063545">
      <w:bodyDiv w:val="1"/>
      <w:marLeft w:val="0"/>
      <w:marRight w:val="0"/>
      <w:marTop w:val="0"/>
      <w:marBottom w:val="0"/>
      <w:divBdr>
        <w:top w:val="none" w:sz="0" w:space="0" w:color="auto"/>
        <w:left w:val="none" w:sz="0" w:space="0" w:color="auto"/>
        <w:bottom w:val="none" w:sz="0" w:space="0" w:color="auto"/>
        <w:right w:val="none" w:sz="0" w:space="0" w:color="auto"/>
      </w:divBdr>
    </w:div>
    <w:div w:id="840854513">
      <w:bodyDiv w:val="1"/>
      <w:marLeft w:val="0"/>
      <w:marRight w:val="0"/>
      <w:marTop w:val="0"/>
      <w:marBottom w:val="0"/>
      <w:divBdr>
        <w:top w:val="none" w:sz="0" w:space="0" w:color="auto"/>
        <w:left w:val="none" w:sz="0" w:space="0" w:color="auto"/>
        <w:bottom w:val="none" w:sz="0" w:space="0" w:color="auto"/>
        <w:right w:val="none" w:sz="0" w:space="0" w:color="auto"/>
      </w:divBdr>
    </w:div>
    <w:div w:id="849947779">
      <w:bodyDiv w:val="1"/>
      <w:marLeft w:val="0"/>
      <w:marRight w:val="0"/>
      <w:marTop w:val="0"/>
      <w:marBottom w:val="0"/>
      <w:divBdr>
        <w:top w:val="none" w:sz="0" w:space="0" w:color="auto"/>
        <w:left w:val="none" w:sz="0" w:space="0" w:color="auto"/>
        <w:bottom w:val="none" w:sz="0" w:space="0" w:color="auto"/>
        <w:right w:val="none" w:sz="0" w:space="0" w:color="auto"/>
      </w:divBdr>
    </w:div>
    <w:div w:id="915020760">
      <w:bodyDiv w:val="1"/>
      <w:marLeft w:val="0"/>
      <w:marRight w:val="0"/>
      <w:marTop w:val="0"/>
      <w:marBottom w:val="0"/>
      <w:divBdr>
        <w:top w:val="none" w:sz="0" w:space="0" w:color="auto"/>
        <w:left w:val="none" w:sz="0" w:space="0" w:color="auto"/>
        <w:bottom w:val="none" w:sz="0" w:space="0" w:color="auto"/>
        <w:right w:val="none" w:sz="0" w:space="0" w:color="auto"/>
      </w:divBdr>
    </w:div>
    <w:div w:id="926965554">
      <w:bodyDiv w:val="1"/>
      <w:marLeft w:val="0"/>
      <w:marRight w:val="0"/>
      <w:marTop w:val="0"/>
      <w:marBottom w:val="0"/>
      <w:divBdr>
        <w:top w:val="none" w:sz="0" w:space="0" w:color="auto"/>
        <w:left w:val="none" w:sz="0" w:space="0" w:color="auto"/>
        <w:bottom w:val="none" w:sz="0" w:space="0" w:color="auto"/>
        <w:right w:val="none" w:sz="0" w:space="0" w:color="auto"/>
      </w:divBdr>
    </w:div>
    <w:div w:id="946500123">
      <w:bodyDiv w:val="1"/>
      <w:marLeft w:val="0"/>
      <w:marRight w:val="0"/>
      <w:marTop w:val="0"/>
      <w:marBottom w:val="0"/>
      <w:divBdr>
        <w:top w:val="none" w:sz="0" w:space="0" w:color="auto"/>
        <w:left w:val="none" w:sz="0" w:space="0" w:color="auto"/>
        <w:bottom w:val="none" w:sz="0" w:space="0" w:color="auto"/>
        <w:right w:val="none" w:sz="0" w:space="0" w:color="auto"/>
      </w:divBdr>
    </w:div>
    <w:div w:id="972752328">
      <w:bodyDiv w:val="1"/>
      <w:marLeft w:val="0"/>
      <w:marRight w:val="0"/>
      <w:marTop w:val="0"/>
      <w:marBottom w:val="0"/>
      <w:divBdr>
        <w:top w:val="none" w:sz="0" w:space="0" w:color="auto"/>
        <w:left w:val="none" w:sz="0" w:space="0" w:color="auto"/>
        <w:bottom w:val="none" w:sz="0" w:space="0" w:color="auto"/>
        <w:right w:val="none" w:sz="0" w:space="0" w:color="auto"/>
      </w:divBdr>
    </w:div>
    <w:div w:id="991367449">
      <w:bodyDiv w:val="1"/>
      <w:marLeft w:val="0"/>
      <w:marRight w:val="0"/>
      <w:marTop w:val="0"/>
      <w:marBottom w:val="0"/>
      <w:divBdr>
        <w:top w:val="none" w:sz="0" w:space="0" w:color="auto"/>
        <w:left w:val="none" w:sz="0" w:space="0" w:color="auto"/>
        <w:bottom w:val="none" w:sz="0" w:space="0" w:color="auto"/>
        <w:right w:val="none" w:sz="0" w:space="0" w:color="auto"/>
      </w:divBdr>
    </w:div>
    <w:div w:id="1023558176">
      <w:bodyDiv w:val="1"/>
      <w:marLeft w:val="0"/>
      <w:marRight w:val="0"/>
      <w:marTop w:val="0"/>
      <w:marBottom w:val="0"/>
      <w:divBdr>
        <w:top w:val="none" w:sz="0" w:space="0" w:color="auto"/>
        <w:left w:val="none" w:sz="0" w:space="0" w:color="auto"/>
        <w:bottom w:val="none" w:sz="0" w:space="0" w:color="auto"/>
        <w:right w:val="none" w:sz="0" w:space="0" w:color="auto"/>
      </w:divBdr>
    </w:div>
    <w:div w:id="1065878259">
      <w:bodyDiv w:val="1"/>
      <w:marLeft w:val="0"/>
      <w:marRight w:val="0"/>
      <w:marTop w:val="0"/>
      <w:marBottom w:val="0"/>
      <w:divBdr>
        <w:top w:val="none" w:sz="0" w:space="0" w:color="auto"/>
        <w:left w:val="none" w:sz="0" w:space="0" w:color="auto"/>
        <w:bottom w:val="none" w:sz="0" w:space="0" w:color="auto"/>
        <w:right w:val="none" w:sz="0" w:space="0" w:color="auto"/>
      </w:divBdr>
    </w:div>
    <w:div w:id="1070350976">
      <w:bodyDiv w:val="1"/>
      <w:marLeft w:val="0"/>
      <w:marRight w:val="0"/>
      <w:marTop w:val="0"/>
      <w:marBottom w:val="0"/>
      <w:divBdr>
        <w:top w:val="none" w:sz="0" w:space="0" w:color="auto"/>
        <w:left w:val="none" w:sz="0" w:space="0" w:color="auto"/>
        <w:bottom w:val="none" w:sz="0" w:space="0" w:color="auto"/>
        <w:right w:val="none" w:sz="0" w:space="0" w:color="auto"/>
      </w:divBdr>
    </w:div>
    <w:div w:id="1073356933">
      <w:bodyDiv w:val="1"/>
      <w:marLeft w:val="0"/>
      <w:marRight w:val="0"/>
      <w:marTop w:val="0"/>
      <w:marBottom w:val="0"/>
      <w:divBdr>
        <w:top w:val="none" w:sz="0" w:space="0" w:color="auto"/>
        <w:left w:val="none" w:sz="0" w:space="0" w:color="auto"/>
        <w:bottom w:val="none" w:sz="0" w:space="0" w:color="auto"/>
        <w:right w:val="none" w:sz="0" w:space="0" w:color="auto"/>
      </w:divBdr>
    </w:div>
    <w:div w:id="1113013908">
      <w:bodyDiv w:val="1"/>
      <w:marLeft w:val="0"/>
      <w:marRight w:val="0"/>
      <w:marTop w:val="0"/>
      <w:marBottom w:val="0"/>
      <w:divBdr>
        <w:top w:val="none" w:sz="0" w:space="0" w:color="auto"/>
        <w:left w:val="none" w:sz="0" w:space="0" w:color="auto"/>
        <w:bottom w:val="none" w:sz="0" w:space="0" w:color="auto"/>
        <w:right w:val="none" w:sz="0" w:space="0" w:color="auto"/>
      </w:divBdr>
    </w:div>
    <w:div w:id="1119225908">
      <w:bodyDiv w:val="1"/>
      <w:marLeft w:val="0"/>
      <w:marRight w:val="0"/>
      <w:marTop w:val="0"/>
      <w:marBottom w:val="0"/>
      <w:divBdr>
        <w:top w:val="none" w:sz="0" w:space="0" w:color="auto"/>
        <w:left w:val="none" w:sz="0" w:space="0" w:color="auto"/>
        <w:bottom w:val="none" w:sz="0" w:space="0" w:color="auto"/>
        <w:right w:val="none" w:sz="0" w:space="0" w:color="auto"/>
      </w:divBdr>
    </w:div>
    <w:div w:id="1156529360">
      <w:bodyDiv w:val="1"/>
      <w:marLeft w:val="0"/>
      <w:marRight w:val="0"/>
      <w:marTop w:val="0"/>
      <w:marBottom w:val="0"/>
      <w:divBdr>
        <w:top w:val="none" w:sz="0" w:space="0" w:color="auto"/>
        <w:left w:val="none" w:sz="0" w:space="0" w:color="auto"/>
        <w:bottom w:val="none" w:sz="0" w:space="0" w:color="auto"/>
        <w:right w:val="none" w:sz="0" w:space="0" w:color="auto"/>
      </w:divBdr>
    </w:div>
    <w:div w:id="1161577633">
      <w:bodyDiv w:val="1"/>
      <w:marLeft w:val="0"/>
      <w:marRight w:val="0"/>
      <w:marTop w:val="0"/>
      <w:marBottom w:val="0"/>
      <w:divBdr>
        <w:top w:val="none" w:sz="0" w:space="0" w:color="auto"/>
        <w:left w:val="none" w:sz="0" w:space="0" w:color="auto"/>
        <w:bottom w:val="none" w:sz="0" w:space="0" w:color="auto"/>
        <w:right w:val="none" w:sz="0" w:space="0" w:color="auto"/>
      </w:divBdr>
    </w:div>
    <w:div w:id="1163472579">
      <w:bodyDiv w:val="1"/>
      <w:marLeft w:val="0"/>
      <w:marRight w:val="0"/>
      <w:marTop w:val="0"/>
      <w:marBottom w:val="0"/>
      <w:divBdr>
        <w:top w:val="none" w:sz="0" w:space="0" w:color="auto"/>
        <w:left w:val="none" w:sz="0" w:space="0" w:color="auto"/>
        <w:bottom w:val="none" w:sz="0" w:space="0" w:color="auto"/>
        <w:right w:val="none" w:sz="0" w:space="0" w:color="auto"/>
      </w:divBdr>
    </w:div>
    <w:div w:id="1164660315">
      <w:bodyDiv w:val="1"/>
      <w:marLeft w:val="0"/>
      <w:marRight w:val="0"/>
      <w:marTop w:val="0"/>
      <w:marBottom w:val="0"/>
      <w:divBdr>
        <w:top w:val="none" w:sz="0" w:space="0" w:color="auto"/>
        <w:left w:val="none" w:sz="0" w:space="0" w:color="auto"/>
        <w:bottom w:val="none" w:sz="0" w:space="0" w:color="auto"/>
        <w:right w:val="none" w:sz="0" w:space="0" w:color="auto"/>
      </w:divBdr>
    </w:div>
    <w:div w:id="1177698222">
      <w:bodyDiv w:val="1"/>
      <w:marLeft w:val="0"/>
      <w:marRight w:val="0"/>
      <w:marTop w:val="0"/>
      <w:marBottom w:val="0"/>
      <w:divBdr>
        <w:top w:val="none" w:sz="0" w:space="0" w:color="auto"/>
        <w:left w:val="none" w:sz="0" w:space="0" w:color="auto"/>
        <w:bottom w:val="none" w:sz="0" w:space="0" w:color="auto"/>
        <w:right w:val="none" w:sz="0" w:space="0" w:color="auto"/>
      </w:divBdr>
    </w:div>
    <w:div w:id="1232278228">
      <w:bodyDiv w:val="1"/>
      <w:marLeft w:val="0"/>
      <w:marRight w:val="0"/>
      <w:marTop w:val="0"/>
      <w:marBottom w:val="0"/>
      <w:divBdr>
        <w:top w:val="none" w:sz="0" w:space="0" w:color="auto"/>
        <w:left w:val="none" w:sz="0" w:space="0" w:color="auto"/>
        <w:bottom w:val="none" w:sz="0" w:space="0" w:color="auto"/>
        <w:right w:val="none" w:sz="0" w:space="0" w:color="auto"/>
      </w:divBdr>
    </w:div>
    <w:div w:id="1253932219">
      <w:bodyDiv w:val="1"/>
      <w:marLeft w:val="0"/>
      <w:marRight w:val="0"/>
      <w:marTop w:val="0"/>
      <w:marBottom w:val="0"/>
      <w:divBdr>
        <w:top w:val="none" w:sz="0" w:space="0" w:color="auto"/>
        <w:left w:val="none" w:sz="0" w:space="0" w:color="auto"/>
        <w:bottom w:val="none" w:sz="0" w:space="0" w:color="auto"/>
        <w:right w:val="none" w:sz="0" w:space="0" w:color="auto"/>
      </w:divBdr>
    </w:div>
    <w:div w:id="1298341736">
      <w:bodyDiv w:val="1"/>
      <w:marLeft w:val="0"/>
      <w:marRight w:val="0"/>
      <w:marTop w:val="0"/>
      <w:marBottom w:val="0"/>
      <w:divBdr>
        <w:top w:val="none" w:sz="0" w:space="0" w:color="auto"/>
        <w:left w:val="none" w:sz="0" w:space="0" w:color="auto"/>
        <w:bottom w:val="none" w:sz="0" w:space="0" w:color="auto"/>
        <w:right w:val="none" w:sz="0" w:space="0" w:color="auto"/>
      </w:divBdr>
    </w:div>
    <w:div w:id="1301114891">
      <w:bodyDiv w:val="1"/>
      <w:marLeft w:val="0"/>
      <w:marRight w:val="0"/>
      <w:marTop w:val="0"/>
      <w:marBottom w:val="0"/>
      <w:divBdr>
        <w:top w:val="none" w:sz="0" w:space="0" w:color="auto"/>
        <w:left w:val="none" w:sz="0" w:space="0" w:color="auto"/>
        <w:bottom w:val="none" w:sz="0" w:space="0" w:color="auto"/>
        <w:right w:val="none" w:sz="0" w:space="0" w:color="auto"/>
      </w:divBdr>
    </w:div>
    <w:div w:id="1303995670">
      <w:bodyDiv w:val="1"/>
      <w:marLeft w:val="0"/>
      <w:marRight w:val="0"/>
      <w:marTop w:val="0"/>
      <w:marBottom w:val="0"/>
      <w:divBdr>
        <w:top w:val="none" w:sz="0" w:space="0" w:color="auto"/>
        <w:left w:val="none" w:sz="0" w:space="0" w:color="auto"/>
        <w:bottom w:val="none" w:sz="0" w:space="0" w:color="auto"/>
        <w:right w:val="none" w:sz="0" w:space="0" w:color="auto"/>
      </w:divBdr>
    </w:div>
    <w:div w:id="1316884624">
      <w:bodyDiv w:val="1"/>
      <w:marLeft w:val="0"/>
      <w:marRight w:val="0"/>
      <w:marTop w:val="0"/>
      <w:marBottom w:val="0"/>
      <w:divBdr>
        <w:top w:val="none" w:sz="0" w:space="0" w:color="auto"/>
        <w:left w:val="none" w:sz="0" w:space="0" w:color="auto"/>
        <w:bottom w:val="none" w:sz="0" w:space="0" w:color="auto"/>
        <w:right w:val="none" w:sz="0" w:space="0" w:color="auto"/>
      </w:divBdr>
    </w:div>
    <w:div w:id="1320420576">
      <w:bodyDiv w:val="1"/>
      <w:marLeft w:val="0"/>
      <w:marRight w:val="0"/>
      <w:marTop w:val="0"/>
      <w:marBottom w:val="0"/>
      <w:divBdr>
        <w:top w:val="none" w:sz="0" w:space="0" w:color="auto"/>
        <w:left w:val="none" w:sz="0" w:space="0" w:color="auto"/>
        <w:bottom w:val="none" w:sz="0" w:space="0" w:color="auto"/>
        <w:right w:val="none" w:sz="0" w:space="0" w:color="auto"/>
      </w:divBdr>
    </w:div>
    <w:div w:id="1341154441">
      <w:bodyDiv w:val="1"/>
      <w:marLeft w:val="0"/>
      <w:marRight w:val="0"/>
      <w:marTop w:val="0"/>
      <w:marBottom w:val="0"/>
      <w:divBdr>
        <w:top w:val="none" w:sz="0" w:space="0" w:color="auto"/>
        <w:left w:val="none" w:sz="0" w:space="0" w:color="auto"/>
        <w:bottom w:val="none" w:sz="0" w:space="0" w:color="auto"/>
        <w:right w:val="none" w:sz="0" w:space="0" w:color="auto"/>
      </w:divBdr>
    </w:div>
    <w:div w:id="1370379397">
      <w:bodyDiv w:val="1"/>
      <w:marLeft w:val="0"/>
      <w:marRight w:val="0"/>
      <w:marTop w:val="0"/>
      <w:marBottom w:val="0"/>
      <w:divBdr>
        <w:top w:val="none" w:sz="0" w:space="0" w:color="auto"/>
        <w:left w:val="none" w:sz="0" w:space="0" w:color="auto"/>
        <w:bottom w:val="none" w:sz="0" w:space="0" w:color="auto"/>
        <w:right w:val="none" w:sz="0" w:space="0" w:color="auto"/>
      </w:divBdr>
    </w:div>
    <w:div w:id="1424377152">
      <w:bodyDiv w:val="1"/>
      <w:marLeft w:val="0"/>
      <w:marRight w:val="0"/>
      <w:marTop w:val="0"/>
      <w:marBottom w:val="0"/>
      <w:divBdr>
        <w:top w:val="none" w:sz="0" w:space="0" w:color="auto"/>
        <w:left w:val="none" w:sz="0" w:space="0" w:color="auto"/>
        <w:bottom w:val="none" w:sz="0" w:space="0" w:color="auto"/>
        <w:right w:val="none" w:sz="0" w:space="0" w:color="auto"/>
      </w:divBdr>
    </w:div>
    <w:div w:id="1437750997">
      <w:bodyDiv w:val="1"/>
      <w:marLeft w:val="0"/>
      <w:marRight w:val="0"/>
      <w:marTop w:val="0"/>
      <w:marBottom w:val="0"/>
      <w:divBdr>
        <w:top w:val="none" w:sz="0" w:space="0" w:color="auto"/>
        <w:left w:val="none" w:sz="0" w:space="0" w:color="auto"/>
        <w:bottom w:val="none" w:sz="0" w:space="0" w:color="auto"/>
        <w:right w:val="none" w:sz="0" w:space="0" w:color="auto"/>
      </w:divBdr>
    </w:div>
    <w:div w:id="1467309591">
      <w:bodyDiv w:val="1"/>
      <w:marLeft w:val="0"/>
      <w:marRight w:val="0"/>
      <w:marTop w:val="0"/>
      <w:marBottom w:val="0"/>
      <w:divBdr>
        <w:top w:val="none" w:sz="0" w:space="0" w:color="auto"/>
        <w:left w:val="none" w:sz="0" w:space="0" w:color="auto"/>
        <w:bottom w:val="none" w:sz="0" w:space="0" w:color="auto"/>
        <w:right w:val="none" w:sz="0" w:space="0" w:color="auto"/>
      </w:divBdr>
    </w:div>
    <w:div w:id="1527597002">
      <w:bodyDiv w:val="1"/>
      <w:marLeft w:val="0"/>
      <w:marRight w:val="0"/>
      <w:marTop w:val="0"/>
      <w:marBottom w:val="0"/>
      <w:divBdr>
        <w:top w:val="none" w:sz="0" w:space="0" w:color="auto"/>
        <w:left w:val="none" w:sz="0" w:space="0" w:color="auto"/>
        <w:bottom w:val="none" w:sz="0" w:space="0" w:color="auto"/>
        <w:right w:val="none" w:sz="0" w:space="0" w:color="auto"/>
      </w:divBdr>
    </w:div>
    <w:div w:id="1659533926">
      <w:bodyDiv w:val="1"/>
      <w:marLeft w:val="0"/>
      <w:marRight w:val="0"/>
      <w:marTop w:val="0"/>
      <w:marBottom w:val="0"/>
      <w:divBdr>
        <w:top w:val="none" w:sz="0" w:space="0" w:color="auto"/>
        <w:left w:val="none" w:sz="0" w:space="0" w:color="auto"/>
        <w:bottom w:val="none" w:sz="0" w:space="0" w:color="auto"/>
        <w:right w:val="none" w:sz="0" w:space="0" w:color="auto"/>
      </w:divBdr>
    </w:div>
    <w:div w:id="1716157461">
      <w:bodyDiv w:val="1"/>
      <w:marLeft w:val="0"/>
      <w:marRight w:val="0"/>
      <w:marTop w:val="0"/>
      <w:marBottom w:val="0"/>
      <w:divBdr>
        <w:top w:val="none" w:sz="0" w:space="0" w:color="auto"/>
        <w:left w:val="none" w:sz="0" w:space="0" w:color="auto"/>
        <w:bottom w:val="none" w:sz="0" w:space="0" w:color="auto"/>
        <w:right w:val="none" w:sz="0" w:space="0" w:color="auto"/>
      </w:divBdr>
    </w:div>
    <w:div w:id="1720202323">
      <w:bodyDiv w:val="1"/>
      <w:marLeft w:val="0"/>
      <w:marRight w:val="0"/>
      <w:marTop w:val="0"/>
      <w:marBottom w:val="0"/>
      <w:divBdr>
        <w:top w:val="none" w:sz="0" w:space="0" w:color="auto"/>
        <w:left w:val="none" w:sz="0" w:space="0" w:color="auto"/>
        <w:bottom w:val="none" w:sz="0" w:space="0" w:color="auto"/>
        <w:right w:val="none" w:sz="0" w:space="0" w:color="auto"/>
      </w:divBdr>
    </w:div>
    <w:div w:id="1775520394">
      <w:bodyDiv w:val="1"/>
      <w:marLeft w:val="0"/>
      <w:marRight w:val="0"/>
      <w:marTop w:val="0"/>
      <w:marBottom w:val="0"/>
      <w:divBdr>
        <w:top w:val="none" w:sz="0" w:space="0" w:color="auto"/>
        <w:left w:val="none" w:sz="0" w:space="0" w:color="auto"/>
        <w:bottom w:val="none" w:sz="0" w:space="0" w:color="auto"/>
        <w:right w:val="none" w:sz="0" w:space="0" w:color="auto"/>
      </w:divBdr>
    </w:div>
    <w:div w:id="1855456720">
      <w:bodyDiv w:val="1"/>
      <w:marLeft w:val="0"/>
      <w:marRight w:val="0"/>
      <w:marTop w:val="0"/>
      <w:marBottom w:val="0"/>
      <w:divBdr>
        <w:top w:val="none" w:sz="0" w:space="0" w:color="auto"/>
        <w:left w:val="none" w:sz="0" w:space="0" w:color="auto"/>
        <w:bottom w:val="none" w:sz="0" w:space="0" w:color="auto"/>
        <w:right w:val="none" w:sz="0" w:space="0" w:color="auto"/>
      </w:divBdr>
    </w:div>
    <w:div w:id="1902522198">
      <w:bodyDiv w:val="1"/>
      <w:marLeft w:val="0"/>
      <w:marRight w:val="0"/>
      <w:marTop w:val="0"/>
      <w:marBottom w:val="0"/>
      <w:divBdr>
        <w:top w:val="none" w:sz="0" w:space="0" w:color="auto"/>
        <w:left w:val="none" w:sz="0" w:space="0" w:color="auto"/>
        <w:bottom w:val="none" w:sz="0" w:space="0" w:color="auto"/>
        <w:right w:val="none" w:sz="0" w:space="0" w:color="auto"/>
      </w:divBdr>
    </w:div>
    <w:div w:id="1931157791">
      <w:bodyDiv w:val="1"/>
      <w:marLeft w:val="0"/>
      <w:marRight w:val="0"/>
      <w:marTop w:val="0"/>
      <w:marBottom w:val="0"/>
      <w:divBdr>
        <w:top w:val="none" w:sz="0" w:space="0" w:color="auto"/>
        <w:left w:val="none" w:sz="0" w:space="0" w:color="auto"/>
        <w:bottom w:val="none" w:sz="0" w:space="0" w:color="auto"/>
        <w:right w:val="none" w:sz="0" w:space="0" w:color="auto"/>
      </w:divBdr>
    </w:div>
    <w:div w:id="1934244587">
      <w:bodyDiv w:val="1"/>
      <w:marLeft w:val="0"/>
      <w:marRight w:val="0"/>
      <w:marTop w:val="0"/>
      <w:marBottom w:val="0"/>
      <w:divBdr>
        <w:top w:val="none" w:sz="0" w:space="0" w:color="auto"/>
        <w:left w:val="none" w:sz="0" w:space="0" w:color="auto"/>
        <w:bottom w:val="none" w:sz="0" w:space="0" w:color="auto"/>
        <w:right w:val="none" w:sz="0" w:space="0" w:color="auto"/>
      </w:divBdr>
    </w:div>
    <w:div w:id="1936739911">
      <w:bodyDiv w:val="1"/>
      <w:marLeft w:val="0"/>
      <w:marRight w:val="0"/>
      <w:marTop w:val="0"/>
      <w:marBottom w:val="0"/>
      <w:divBdr>
        <w:top w:val="none" w:sz="0" w:space="0" w:color="auto"/>
        <w:left w:val="none" w:sz="0" w:space="0" w:color="auto"/>
        <w:bottom w:val="none" w:sz="0" w:space="0" w:color="auto"/>
        <w:right w:val="none" w:sz="0" w:space="0" w:color="auto"/>
      </w:divBdr>
    </w:div>
    <w:div w:id="1958415631">
      <w:bodyDiv w:val="1"/>
      <w:marLeft w:val="0"/>
      <w:marRight w:val="0"/>
      <w:marTop w:val="0"/>
      <w:marBottom w:val="0"/>
      <w:divBdr>
        <w:top w:val="none" w:sz="0" w:space="0" w:color="auto"/>
        <w:left w:val="none" w:sz="0" w:space="0" w:color="auto"/>
        <w:bottom w:val="none" w:sz="0" w:space="0" w:color="auto"/>
        <w:right w:val="none" w:sz="0" w:space="0" w:color="auto"/>
      </w:divBdr>
    </w:div>
    <w:div w:id="1977639971">
      <w:bodyDiv w:val="1"/>
      <w:marLeft w:val="0"/>
      <w:marRight w:val="0"/>
      <w:marTop w:val="0"/>
      <w:marBottom w:val="0"/>
      <w:divBdr>
        <w:top w:val="none" w:sz="0" w:space="0" w:color="auto"/>
        <w:left w:val="none" w:sz="0" w:space="0" w:color="auto"/>
        <w:bottom w:val="none" w:sz="0" w:space="0" w:color="auto"/>
        <w:right w:val="none" w:sz="0" w:space="0" w:color="auto"/>
      </w:divBdr>
    </w:div>
    <w:div w:id="2021734247">
      <w:bodyDiv w:val="1"/>
      <w:marLeft w:val="0"/>
      <w:marRight w:val="0"/>
      <w:marTop w:val="0"/>
      <w:marBottom w:val="0"/>
      <w:divBdr>
        <w:top w:val="none" w:sz="0" w:space="0" w:color="auto"/>
        <w:left w:val="none" w:sz="0" w:space="0" w:color="auto"/>
        <w:bottom w:val="none" w:sz="0" w:space="0" w:color="auto"/>
        <w:right w:val="none" w:sz="0" w:space="0" w:color="auto"/>
      </w:divBdr>
      <w:divsChild>
        <w:div w:id="788738421">
          <w:marLeft w:val="0"/>
          <w:marRight w:val="0"/>
          <w:marTop w:val="0"/>
          <w:marBottom w:val="0"/>
          <w:divBdr>
            <w:top w:val="none" w:sz="0" w:space="0" w:color="auto"/>
            <w:left w:val="none" w:sz="0" w:space="0" w:color="auto"/>
            <w:bottom w:val="none" w:sz="0" w:space="0" w:color="auto"/>
            <w:right w:val="none" w:sz="0" w:space="0" w:color="auto"/>
          </w:divBdr>
          <w:divsChild>
            <w:div w:id="38092082">
              <w:marLeft w:val="0"/>
              <w:marRight w:val="60"/>
              <w:marTop w:val="0"/>
              <w:marBottom w:val="0"/>
              <w:divBdr>
                <w:top w:val="none" w:sz="0" w:space="0" w:color="auto"/>
                <w:left w:val="none" w:sz="0" w:space="0" w:color="auto"/>
                <w:bottom w:val="none" w:sz="0" w:space="0" w:color="auto"/>
                <w:right w:val="none" w:sz="0" w:space="0" w:color="auto"/>
              </w:divBdr>
              <w:divsChild>
                <w:div w:id="1006859522">
                  <w:marLeft w:val="0"/>
                  <w:marRight w:val="0"/>
                  <w:marTop w:val="0"/>
                  <w:marBottom w:val="120"/>
                  <w:divBdr>
                    <w:top w:val="single" w:sz="6" w:space="0" w:color="C0C0C0"/>
                    <w:left w:val="single" w:sz="6" w:space="0" w:color="D9D9D9"/>
                    <w:bottom w:val="single" w:sz="6" w:space="0" w:color="D9D9D9"/>
                    <w:right w:val="single" w:sz="6" w:space="0" w:color="D9D9D9"/>
                  </w:divBdr>
                  <w:divsChild>
                    <w:div w:id="715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68410">
          <w:marLeft w:val="0"/>
          <w:marRight w:val="0"/>
          <w:marTop w:val="0"/>
          <w:marBottom w:val="0"/>
          <w:divBdr>
            <w:top w:val="none" w:sz="0" w:space="0" w:color="auto"/>
            <w:left w:val="none" w:sz="0" w:space="0" w:color="auto"/>
            <w:bottom w:val="none" w:sz="0" w:space="0" w:color="auto"/>
            <w:right w:val="none" w:sz="0" w:space="0" w:color="auto"/>
          </w:divBdr>
          <w:divsChild>
            <w:div w:id="588461909">
              <w:marLeft w:val="60"/>
              <w:marRight w:val="0"/>
              <w:marTop w:val="0"/>
              <w:marBottom w:val="0"/>
              <w:divBdr>
                <w:top w:val="none" w:sz="0" w:space="0" w:color="auto"/>
                <w:left w:val="none" w:sz="0" w:space="0" w:color="auto"/>
                <w:bottom w:val="none" w:sz="0" w:space="0" w:color="auto"/>
                <w:right w:val="none" w:sz="0" w:space="0" w:color="auto"/>
              </w:divBdr>
              <w:divsChild>
                <w:div w:id="1135945278">
                  <w:marLeft w:val="0"/>
                  <w:marRight w:val="0"/>
                  <w:marTop w:val="0"/>
                  <w:marBottom w:val="0"/>
                  <w:divBdr>
                    <w:top w:val="none" w:sz="0" w:space="0" w:color="auto"/>
                    <w:left w:val="none" w:sz="0" w:space="0" w:color="auto"/>
                    <w:bottom w:val="none" w:sz="0" w:space="0" w:color="auto"/>
                    <w:right w:val="none" w:sz="0" w:space="0" w:color="auto"/>
                  </w:divBdr>
                  <w:divsChild>
                    <w:div w:id="1021007936">
                      <w:marLeft w:val="0"/>
                      <w:marRight w:val="0"/>
                      <w:marTop w:val="0"/>
                      <w:marBottom w:val="120"/>
                      <w:divBdr>
                        <w:top w:val="single" w:sz="6" w:space="0" w:color="F5F5F5"/>
                        <w:left w:val="single" w:sz="6" w:space="0" w:color="F5F5F5"/>
                        <w:bottom w:val="single" w:sz="6" w:space="0" w:color="F5F5F5"/>
                        <w:right w:val="single" w:sz="6" w:space="0" w:color="F5F5F5"/>
                      </w:divBdr>
                      <w:divsChild>
                        <w:div w:id="1774205337">
                          <w:marLeft w:val="0"/>
                          <w:marRight w:val="0"/>
                          <w:marTop w:val="0"/>
                          <w:marBottom w:val="0"/>
                          <w:divBdr>
                            <w:top w:val="none" w:sz="0" w:space="0" w:color="auto"/>
                            <w:left w:val="none" w:sz="0" w:space="0" w:color="auto"/>
                            <w:bottom w:val="none" w:sz="0" w:space="0" w:color="auto"/>
                            <w:right w:val="none" w:sz="0" w:space="0" w:color="auto"/>
                          </w:divBdr>
                          <w:divsChild>
                            <w:div w:id="16223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9155">
      <w:bodyDiv w:val="1"/>
      <w:marLeft w:val="0"/>
      <w:marRight w:val="0"/>
      <w:marTop w:val="0"/>
      <w:marBottom w:val="0"/>
      <w:divBdr>
        <w:top w:val="none" w:sz="0" w:space="0" w:color="auto"/>
        <w:left w:val="none" w:sz="0" w:space="0" w:color="auto"/>
        <w:bottom w:val="none" w:sz="0" w:space="0" w:color="auto"/>
        <w:right w:val="none" w:sz="0" w:space="0" w:color="auto"/>
      </w:divBdr>
      <w:divsChild>
        <w:div w:id="545220751">
          <w:marLeft w:val="446"/>
          <w:marRight w:val="0"/>
          <w:marTop w:val="0"/>
          <w:marBottom w:val="0"/>
          <w:divBdr>
            <w:top w:val="none" w:sz="0" w:space="0" w:color="auto"/>
            <w:left w:val="none" w:sz="0" w:space="0" w:color="auto"/>
            <w:bottom w:val="none" w:sz="0" w:space="0" w:color="auto"/>
            <w:right w:val="none" w:sz="0" w:space="0" w:color="auto"/>
          </w:divBdr>
        </w:div>
        <w:div w:id="1709064572">
          <w:marLeft w:val="446"/>
          <w:marRight w:val="0"/>
          <w:marTop w:val="0"/>
          <w:marBottom w:val="0"/>
          <w:divBdr>
            <w:top w:val="none" w:sz="0" w:space="0" w:color="auto"/>
            <w:left w:val="none" w:sz="0" w:space="0" w:color="auto"/>
            <w:bottom w:val="none" w:sz="0" w:space="0" w:color="auto"/>
            <w:right w:val="none" w:sz="0" w:space="0" w:color="auto"/>
          </w:divBdr>
        </w:div>
        <w:div w:id="1218518497">
          <w:marLeft w:val="446"/>
          <w:marRight w:val="0"/>
          <w:marTop w:val="0"/>
          <w:marBottom w:val="0"/>
          <w:divBdr>
            <w:top w:val="none" w:sz="0" w:space="0" w:color="auto"/>
            <w:left w:val="none" w:sz="0" w:space="0" w:color="auto"/>
            <w:bottom w:val="none" w:sz="0" w:space="0" w:color="auto"/>
            <w:right w:val="none" w:sz="0" w:space="0" w:color="auto"/>
          </w:divBdr>
        </w:div>
        <w:div w:id="816217942">
          <w:marLeft w:val="446"/>
          <w:marRight w:val="0"/>
          <w:marTop w:val="0"/>
          <w:marBottom w:val="0"/>
          <w:divBdr>
            <w:top w:val="none" w:sz="0" w:space="0" w:color="auto"/>
            <w:left w:val="none" w:sz="0" w:space="0" w:color="auto"/>
            <w:bottom w:val="none" w:sz="0" w:space="0" w:color="auto"/>
            <w:right w:val="none" w:sz="0" w:space="0" w:color="auto"/>
          </w:divBdr>
        </w:div>
        <w:div w:id="2116247581">
          <w:marLeft w:val="446"/>
          <w:marRight w:val="0"/>
          <w:marTop w:val="0"/>
          <w:marBottom w:val="0"/>
          <w:divBdr>
            <w:top w:val="none" w:sz="0" w:space="0" w:color="auto"/>
            <w:left w:val="none" w:sz="0" w:space="0" w:color="auto"/>
            <w:bottom w:val="none" w:sz="0" w:space="0" w:color="auto"/>
            <w:right w:val="none" w:sz="0" w:space="0" w:color="auto"/>
          </w:divBdr>
        </w:div>
        <w:div w:id="1116557480">
          <w:marLeft w:val="446"/>
          <w:marRight w:val="0"/>
          <w:marTop w:val="0"/>
          <w:marBottom w:val="0"/>
          <w:divBdr>
            <w:top w:val="none" w:sz="0" w:space="0" w:color="auto"/>
            <w:left w:val="none" w:sz="0" w:space="0" w:color="auto"/>
            <w:bottom w:val="none" w:sz="0" w:space="0" w:color="auto"/>
            <w:right w:val="none" w:sz="0" w:space="0" w:color="auto"/>
          </w:divBdr>
        </w:div>
        <w:div w:id="434180965">
          <w:marLeft w:val="446"/>
          <w:marRight w:val="0"/>
          <w:marTop w:val="0"/>
          <w:marBottom w:val="0"/>
          <w:divBdr>
            <w:top w:val="none" w:sz="0" w:space="0" w:color="auto"/>
            <w:left w:val="none" w:sz="0" w:space="0" w:color="auto"/>
            <w:bottom w:val="none" w:sz="0" w:space="0" w:color="auto"/>
            <w:right w:val="none" w:sz="0" w:space="0" w:color="auto"/>
          </w:divBdr>
        </w:div>
        <w:div w:id="782303325">
          <w:marLeft w:val="446"/>
          <w:marRight w:val="0"/>
          <w:marTop w:val="0"/>
          <w:marBottom w:val="0"/>
          <w:divBdr>
            <w:top w:val="none" w:sz="0" w:space="0" w:color="auto"/>
            <w:left w:val="none" w:sz="0" w:space="0" w:color="auto"/>
            <w:bottom w:val="none" w:sz="0" w:space="0" w:color="auto"/>
            <w:right w:val="none" w:sz="0" w:space="0" w:color="auto"/>
          </w:divBdr>
        </w:div>
      </w:divsChild>
    </w:div>
    <w:div w:id="2084177487">
      <w:bodyDiv w:val="1"/>
      <w:marLeft w:val="0"/>
      <w:marRight w:val="0"/>
      <w:marTop w:val="0"/>
      <w:marBottom w:val="0"/>
      <w:divBdr>
        <w:top w:val="none" w:sz="0" w:space="0" w:color="auto"/>
        <w:left w:val="none" w:sz="0" w:space="0" w:color="auto"/>
        <w:bottom w:val="none" w:sz="0" w:space="0" w:color="auto"/>
        <w:right w:val="none" w:sz="0" w:space="0" w:color="auto"/>
      </w:divBdr>
    </w:div>
    <w:div w:id="2093624663">
      <w:bodyDiv w:val="1"/>
      <w:marLeft w:val="0"/>
      <w:marRight w:val="0"/>
      <w:marTop w:val="0"/>
      <w:marBottom w:val="0"/>
      <w:divBdr>
        <w:top w:val="none" w:sz="0" w:space="0" w:color="auto"/>
        <w:left w:val="none" w:sz="0" w:space="0" w:color="auto"/>
        <w:bottom w:val="none" w:sz="0" w:space="0" w:color="auto"/>
        <w:right w:val="none" w:sz="0" w:space="0" w:color="auto"/>
      </w:divBdr>
    </w:div>
    <w:div w:id="2121140374">
      <w:bodyDiv w:val="1"/>
      <w:marLeft w:val="0"/>
      <w:marRight w:val="0"/>
      <w:marTop w:val="0"/>
      <w:marBottom w:val="0"/>
      <w:divBdr>
        <w:top w:val="none" w:sz="0" w:space="0" w:color="auto"/>
        <w:left w:val="none" w:sz="0" w:space="0" w:color="auto"/>
        <w:bottom w:val="none" w:sz="0" w:space="0" w:color="auto"/>
        <w:right w:val="none" w:sz="0" w:space="0" w:color="auto"/>
      </w:divBdr>
    </w:div>
    <w:div w:id="21458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all-street.ro/articol/International/195214/un-magazin-ia-mancarea-pe-care-supermarketurile-ar-fi-aruncat-o-si-o-vinde-la-jumatate-de-pret.html" TargetMode="External"/><Relationship Id="rId2" Type="http://schemas.openxmlformats.org/officeDocument/2006/relationships/hyperlink" Target="https://groups.google.com/forum/" TargetMode="External"/><Relationship Id="rId1" Type="http://schemas.openxmlformats.org/officeDocument/2006/relationships/hyperlink" Target="https://groups.google.com/foru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77F979A8174F9A865CE6263E399875"/>
        <w:category>
          <w:name w:val="General"/>
          <w:gallery w:val="placeholder"/>
        </w:category>
        <w:types>
          <w:type w:val="bbPlcHdr"/>
        </w:types>
        <w:behaviors>
          <w:behavior w:val="content"/>
        </w:behaviors>
        <w:guid w:val="{F3EC3B1C-53FB-418A-8E98-952986DFC99F}"/>
      </w:docPartPr>
      <w:docPartBody>
        <w:p w:rsidR="00EB66F9" w:rsidRDefault="00717CDD">
          <w:r w:rsidRPr="00FC4E7B">
            <w:rPr>
              <w:rStyle w:val="PlaceholderText"/>
            </w:rPr>
            <w:t>[Title]</w:t>
          </w:r>
        </w:p>
      </w:docPartBody>
    </w:docPart>
    <w:docPart>
      <w:docPartPr>
        <w:name w:val="1EF1EEAE2F1A4A3DBBB410695D968377"/>
        <w:category>
          <w:name w:val="General"/>
          <w:gallery w:val="placeholder"/>
        </w:category>
        <w:types>
          <w:type w:val="bbPlcHdr"/>
        </w:types>
        <w:behaviors>
          <w:behavior w:val="content"/>
        </w:behaviors>
        <w:guid w:val="{B2446962-4C9B-4AEA-B0EC-21E30EDDAFF5}"/>
      </w:docPartPr>
      <w:docPartBody>
        <w:p w:rsidR="006E4C8F" w:rsidRDefault="006E4C8F" w:rsidP="006E4C8F">
          <w:pPr>
            <w:pStyle w:val="1EF1EEAE2F1A4A3DBBB410695D968377"/>
          </w:pPr>
          <w:r w:rsidRPr="00FC4E7B">
            <w:rPr>
              <w:rStyle w:val="PlaceholderText"/>
            </w:rPr>
            <w:t>[Title]</w:t>
          </w:r>
        </w:p>
      </w:docPartBody>
    </w:docPart>
    <w:docPart>
      <w:docPartPr>
        <w:name w:val="13DB9A2B84FB4965A946F054C2CC9CD3"/>
        <w:category>
          <w:name w:val="General"/>
          <w:gallery w:val="placeholder"/>
        </w:category>
        <w:types>
          <w:type w:val="bbPlcHdr"/>
        </w:types>
        <w:behaviors>
          <w:behavior w:val="content"/>
        </w:behaviors>
        <w:guid w:val="{B9BDBCFA-97D9-4A41-AB4E-563D386E22D3}"/>
      </w:docPartPr>
      <w:docPartBody>
        <w:p w:rsidR="006E4C8F" w:rsidRDefault="006E4C8F" w:rsidP="006E4C8F">
          <w:pPr>
            <w:pStyle w:val="13DB9A2B84FB4965A946F054C2CC9CD3"/>
          </w:pPr>
          <w:r w:rsidRPr="00FC4E7B">
            <w:rPr>
              <w:rStyle w:val="PlaceholderText"/>
            </w:rPr>
            <w:t>[Title]</w:t>
          </w:r>
        </w:p>
      </w:docPartBody>
    </w:docPart>
    <w:docPart>
      <w:docPartPr>
        <w:name w:val="0783A1D82D1745269893D11E17B6A612"/>
        <w:category>
          <w:name w:val="General"/>
          <w:gallery w:val="placeholder"/>
        </w:category>
        <w:types>
          <w:type w:val="bbPlcHdr"/>
        </w:types>
        <w:behaviors>
          <w:behavior w:val="content"/>
        </w:behaviors>
        <w:guid w:val="{D35E7214-1804-4F8E-9E32-57D46A273AF3}"/>
      </w:docPartPr>
      <w:docPartBody>
        <w:p w:rsidR="00DC14B9" w:rsidRDefault="006E4C8F" w:rsidP="006E4C8F">
          <w:pPr>
            <w:pStyle w:val="0783A1D82D1745269893D11E17B6A612"/>
          </w:pPr>
          <w:r w:rsidRPr="00FC4E7B">
            <w:rPr>
              <w:rStyle w:val="PlaceholderText"/>
            </w:rPr>
            <w:t>[Title]</w:t>
          </w:r>
        </w:p>
      </w:docPartBody>
    </w:docPart>
    <w:docPart>
      <w:docPartPr>
        <w:name w:val="AACD4DEA24734831A3C74E9BC4F204DA"/>
        <w:category>
          <w:name w:val="General"/>
          <w:gallery w:val="placeholder"/>
        </w:category>
        <w:types>
          <w:type w:val="bbPlcHdr"/>
        </w:types>
        <w:behaviors>
          <w:behavior w:val="content"/>
        </w:behaviors>
        <w:guid w:val="{9A229F8C-B0E6-4453-BC49-D711DF5E3DF2}"/>
      </w:docPartPr>
      <w:docPartBody>
        <w:p w:rsidR="0056656B" w:rsidRDefault="00DC14B9" w:rsidP="00DC14B9">
          <w:pPr>
            <w:pStyle w:val="AACD4DEA24734831A3C74E9BC4F204DA"/>
          </w:pPr>
          <w:r w:rsidRPr="00FC4E7B">
            <w:rPr>
              <w:rStyle w:val="PlaceholderText"/>
            </w:rPr>
            <w:t>[Title]</w:t>
          </w:r>
        </w:p>
      </w:docPartBody>
    </w:docPart>
    <w:docPart>
      <w:docPartPr>
        <w:name w:val="921273222F684E1CB26FE3CAADDB9519"/>
        <w:category>
          <w:name w:val="General"/>
          <w:gallery w:val="placeholder"/>
        </w:category>
        <w:types>
          <w:type w:val="bbPlcHdr"/>
        </w:types>
        <w:behaviors>
          <w:behavior w:val="content"/>
        </w:behaviors>
        <w:guid w:val="{BDB8CD8C-F1E3-4DB2-BCEE-A76A6FE63025}"/>
      </w:docPartPr>
      <w:docPartBody>
        <w:p w:rsidR="0056656B" w:rsidRDefault="00DC14B9" w:rsidP="00DC14B9">
          <w:pPr>
            <w:pStyle w:val="921273222F684E1CB26FE3CAADDB9519"/>
          </w:pPr>
          <w:r w:rsidRPr="00FC4E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57"/>
    <w:rsid w:val="0000512E"/>
    <w:rsid w:val="00057B18"/>
    <w:rsid w:val="000958A5"/>
    <w:rsid w:val="000A52F5"/>
    <w:rsid w:val="000F45DE"/>
    <w:rsid w:val="001035A3"/>
    <w:rsid w:val="00131863"/>
    <w:rsid w:val="00184D43"/>
    <w:rsid w:val="00187AC7"/>
    <w:rsid w:val="001B6BD2"/>
    <w:rsid w:val="0020438B"/>
    <w:rsid w:val="00214257"/>
    <w:rsid w:val="0025131C"/>
    <w:rsid w:val="00282E96"/>
    <w:rsid w:val="00286F81"/>
    <w:rsid w:val="00291461"/>
    <w:rsid w:val="002A591F"/>
    <w:rsid w:val="002E3B3F"/>
    <w:rsid w:val="003972D4"/>
    <w:rsid w:val="003B5D6F"/>
    <w:rsid w:val="003C3775"/>
    <w:rsid w:val="003D3A73"/>
    <w:rsid w:val="0041025C"/>
    <w:rsid w:val="00412DBC"/>
    <w:rsid w:val="004225CA"/>
    <w:rsid w:val="0042657D"/>
    <w:rsid w:val="00455887"/>
    <w:rsid w:val="004A045B"/>
    <w:rsid w:val="004D1990"/>
    <w:rsid w:val="00524020"/>
    <w:rsid w:val="005523AF"/>
    <w:rsid w:val="00554D17"/>
    <w:rsid w:val="00561B36"/>
    <w:rsid w:val="0056656B"/>
    <w:rsid w:val="00595441"/>
    <w:rsid w:val="005A533A"/>
    <w:rsid w:val="00621E8A"/>
    <w:rsid w:val="006775C4"/>
    <w:rsid w:val="006E4C8F"/>
    <w:rsid w:val="00717CDD"/>
    <w:rsid w:val="007261F1"/>
    <w:rsid w:val="00743CEB"/>
    <w:rsid w:val="0075481A"/>
    <w:rsid w:val="007712C4"/>
    <w:rsid w:val="007C1228"/>
    <w:rsid w:val="007C3D61"/>
    <w:rsid w:val="007F0A3C"/>
    <w:rsid w:val="00846589"/>
    <w:rsid w:val="00865D64"/>
    <w:rsid w:val="008C29C4"/>
    <w:rsid w:val="008F25A8"/>
    <w:rsid w:val="009537CE"/>
    <w:rsid w:val="0097022C"/>
    <w:rsid w:val="0097624F"/>
    <w:rsid w:val="009B1521"/>
    <w:rsid w:val="009C017A"/>
    <w:rsid w:val="00A05B30"/>
    <w:rsid w:val="00A15C5D"/>
    <w:rsid w:val="00B366E5"/>
    <w:rsid w:val="00B40691"/>
    <w:rsid w:val="00BC0827"/>
    <w:rsid w:val="00C67FC0"/>
    <w:rsid w:val="00CE09DA"/>
    <w:rsid w:val="00CE2818"/>
    <w:rsid w:val="00D73159"/>
    <w:rsid w:val="00D738F3"/>
    <w:rsid w:val="00D92A7C"/>
    <w:rsid w:val="00DA357A"/>
    <w:rsid w:val="00DA43E8"/>
    <w:rsid w:val="00DB29D7"/>
    <w:rsid w:val="00DB78A6"/>
    <w:rsid w:val="00DC14B9"/>
    <w:rsid w:val="00DC2CE1"/>
    <w:rsid w:val="00DE211D"/>
    <w:rsid w:val="00E4724F"/>
    <w:rsid w:val="00EB66F9"/>
    <w:rsid w:val="00EE6714"/>
    <w:rsid w:val="00EE739C"/>
    <w:rsid w:val="00F074C9"/>
    <w:rsid w:val="00F12352"/>
    <w:rsid w:val="00F229B8"/>
    <w:rsid w:val="00F45E14"/>
    <w:rsid w:val="00F96438"/>
    <w:rsid w:val="00FA5AB8"/>
    <w:rsid w:val="00FB0F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4B9"/>
    <w:rPr>
      <w:color w:val="808080"/>
    </w:rPr>
  </w:style>
  <w:style w:type="paragraph" w:customStyle="1" w:styleId="796C64B348624E849773D35C9643AF85">
    <w:name w:val="796C64B348624E849773D35C9643AF85"/>
    <w:rsid w:val="002A591F"/>
  </w:style>
  <w:style w:type="paragraph" w:customStyle="1" w:styleId="B9D990ECD6BE4E6C884F4D87B9D88F27">
    <w:name w:val="B9D990ECD6BE4E6C884F4D87B9D88F27"/>
    <w:rsid w:val="002A591F"/>
  </w:style>
  <w:style w:type="paragraph" w:customStyle="1" w:styleId="24DE92518AC9470A9210028712B626AC">
    <w:name w:val="24DE92518AC9470A9210028712B626AC"/>
    <w:rsid w:val="002A591F"/>
  </w:style>
  <w:style w:type="paragraph" w:customStyle="1" w:styleId="AFCFDCC663AB4E28B48F839E35272372">
    <w:name w:val="AFCFDCC663AB4E28B48F839E35272372"/>
    <w:rsid w:val="0075481A"/>
  </w:style>
  <w:style w:type="paragraph" w:customStyle="1" w:styleId="BCD29B21230F42F5BB177E8E335DCAA2">
    <w:name w:val="BCD29B21230F42F5BB177E8E335DCAA2"/>
    <w:rsid w:val="0075481A"/>
  </w:style>
  <w:style w:type="paragraph" w:customStyle="1" w:styleId="23A7DB34C1844ADAA87D88CCCF4181F5">
    <w:name w:val="23A7DB34C1844ADAA87D88CCCF4181F5"/>
    <w:rsid w:val="0075481A"/>
  </w:style>
  <w:style w:type="paragraph" w:customStyle="1" w:styleId="08E89EA0BC3D4BE889F81352AD7C45D6">
    <w:name w:val="08E89EA0BC3D4BE889F81352AD7C45D6"/>
    <w:rsid w:val="007F0A3C"/>
  </w:style>
  <w:style w:type="paragraph" w:customStyle="1" w:styleId="506A3BCE30884987A512995B9E919346">
    <w:name w:val="506A3BCE30884987A512995B9E919346"/>
    <w:rsid w:val="007F0A3C"/>
  </w:style>
  <w:style w:type="paragraph" w:customStyle="1" w:styleId="1EF1EEAE2F1A4A3DBBB410695D968377">
    <w:name w:val="1EF1EEAE2F1A4A3DBBB410695D968377"/>
    <w:rsid w:val="006E4C8F"/>
  </w:style>
  <w:style w:type="paragraph" w:customStyle="1" w:styleId="13DB9A2B84FB4965A946F054C2CC9CD3">
    <w:name w:val="13DB9A2B84FB4965A946F054C2CC9CD3"/>
    <w:rsid w:val="006E4C8F"/>
  </w:style>
  <w:style w:type="paragraph" w:customStyle="1" w:styleId="0783A1D82D1745269893D11E17B6A612">
    <w:name w:val="0783A1D82D1745269893D11E17B6A612"/>
    <w:rsid w:val="006E4C8F"/>
  </w:style>
  <w:style w:type="paragraph" w:customStyle="1" w:styleId="1EF2492C428D440C83B237D27806923F">
    <w:name w:val="1EF2492C428D440C83B237D27806923F"/>
    <w:rsid w:val="006E4C8F"/>
  </w:style>
  <w:style w:type="paragraph" w:customStyle="1" w:styleId="AACD4DEA24734831A3C74E9BC4F204DA">
    <w:name w:val="AACD4DEA24734831A3C74E9BC4F204DA"/>
    <w:rsid w:val="00DC14B9"/>
  </w:style>
  <w:style w:type="paragraph" w:customStyle="1" w:styleId="E1B7777DC9EE47B48325186F0F5BC4B1">
    <w:name w:val="E1B7777DC9EE47B48325186F0F5BC4B1"/>
    <w:rsid w:val="00DC14B9"/>
  </w:style>
  <w:style w:type="paragraph" w:customStyle="1" w:styleId="921273222F684E1CB26FE3CAADDB9519">
    <w:name w:val="921273222F684E1CB26FE3CAADDB9519"/>
    <w:rsid w:val="00DC14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4B9"/>
    <w:rPr>
      <w:color w:val="808080"/>
    </w:rPr>
  </w:style>
  <w:style w:type="paragraph" w:customStyle="1" w:styleId="796C64B348624E849773D35C9643AF85">
    <w:name w:val="796C64B348624E849773D35C9643AF85"/>
    <w:rsid w:val="002A591F"/>
  </w:style>
  <w:style w:type="paragraph" w:customStyle="1" w:styleId="B9D990ECD6BE4E6C884F4D87B9D88F27">
    <w:name w:val="B9D990ECD6BE4E6C884F4D87B9D88F27"/>
    <w:rsid w:val="002A591F"/>
  </w:style>
  <w:style w:type="paragraph" w:customStyle="1" w:styleId="24DE92518AC9470A9210028712B626AC">
    <w:name w:val="24DE92518AC9470A9210028712B626AC"/>
    <w:rsid w:val="002A591F"/>
  </w:style>
  <w:style w:type="paragraph" w:customStyle="1" w:styleId="AFCFDCC663AB4E28B48F839E35272372">
    <w:name w:val="AFCFDCC663AB4E28B48F839E35272372"/>
    <w:rsid w:val="0075481A"/>
  </w:style>
  <w:style w:type="paragraph" w:customStyle="1" w:styleId="BCD29B21230F42F5BB177E8E335DCAA2">
    <w:name w:val="BCD29B21230F42F5BB177E8E335DCAA2"/>
    <w:rsid w:val="0075481A"/>
  </w:style>
  <w:style w:type="paragraph" w:customStyle="1" w:styleId="23A7DB34C1844ADAA87D88CCCF4181F5">
    <w:name w:val="23A7DB34C1844ADAA87D88CCCF4181F5"/>
    <w:rsid w:val="0075481A"/>
  </w:style>
  <w:style w:type="paragraph" w:customStyle="1" w:styleId="08E89EA0BC3D4BE889F81352AD7C45D6">
    <w:name w:val="08E89EA0BC3D4BE889F81352AD7C45D6"/>
    <w:rsid w:val="007F0A3C"/>
  </w:style>
  <w:style w:type="paragraph" w:customStyle="1" w:styleId="506A3BCE30884987A512995B9E919346">
    <w:name w:val="506A3BCE30884987A512995B9E919346"/>
    <w:rsid w:val="007F0A3C"/>
  </w:style>
  <w:style w:type="paragraph" w:customStyle="1" w:styleId="1EF1EEAE2F1A4A3DBBB410695D968377">
    <w:name w:val="1EF1EEAE2F1A4A3DBBB410695D968377"/>
    <w:rsid w:val="006E4C8F"/>
  </w:style>
  <w:style w:type="paragraph" w:customStyle="1" w:styleId="13DB9A2B84FB4965A946F054C2CC9CD3">
    <w:name w:val="13DB9A2B84FB4965A946F054C2CC9CD3"/>
    <w:rsid w:val="006E4C8F"/>
  </w:style>
  <w:style w:type="paragraph" w:customStyle="1" w:styleId="0783A1D82D1745269893D11E17B6A612">
    <w:name w:val="0783A1D82D1745269893D11E17B6A612"/>
    <w:rsid w:val="006E4C8F"/>
  </w:style>
  <w:style w:type="paragraph" w:customStyle="1" w:styleId="1EF2492C428D440C83B237D27806923F">
    <w:name w:val="1EF2492C428D440C83B237D27806923F"/>
    <w:rsid w:val="006E4C8F"/>
  </w:style>
  <w:style w:type="paragraph" w:customStyle="1" w:styleId="AACD4DEA24734831A3C74E9BC4F204DA">
    <w:name w:val="AACD4DEA24734831A3C74E9BC4F204DA"/>
    <w:rsid w:val="00DC14B9"/>
  </w:style>
  <w:style w:type="paragraph" w:customStyle="1" w:styleId="E1B7777DC9EE47B48325186F0F5BC4B1">
    <w:name w:val="E1B7777DC9EE47B48325186F0F5BC4B1"/>
    <w:rsid w:val="00DC14B9"/>
  </w:style>
  <w:style w:type="paragraph" w:customStyle="1" w:styleId="921273222F684E1CB26FE3CAADDB9519">
    <w:name w:val="921273222F684E1CB26FE3CAADDB9519"/>
    <w:rsid w:val="00DC1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7235-6A03-435F-BB2B-197C6EB8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8035</TotalTime>
  <Pages>13</Pages>
  <Words>4597</Words>
  <Characters>26203</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Studiu privind risipa de hrană în România _MMV_sinteza</vt:lpstr>
      <vt:lpstr/>
    </vt:vector>
  </TitlesOfParts>
  <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Studiu privind risipa de hrană în România _MMV_sinteza</dc:title>
  <dc:creator>Marius Nistorescu</dc:creator>
  <cp:lastModifiedBy>User</cp:lastModifiedBy>
  <cp:revision>1039</cp:revision>
  <cp:lastPrinted>2014-08-20T14:55:00Z</cp:lastPrinted>
  <dcterms:created xsi:type="dcterms:W3CDTF">2016-09-05T10:55:00Z</dcterms:created>
  <dcterms:modified xsi:type="dcterms:W3CDTF">2016-11-21T10:10:00Z</dcterms:modified>
</cp:coreProperties>
</file>